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C0F5A" w14:textId="784877C7" w:rsidR="00465AC4" w:rsidRPr="00826C9D" w:rsidRDefault="005A2D97" w:rsidP="003006F5">
      <w:pPr>
        <w:jc w:val="center"/>
        <w:rPr>
          <w:rFonts w:ascii="Arial" w:hAnsi="Arial"/>
          <w:b/>
        </w:rPr>
      </w:pPr>
      <w:bookmarkStart w:id="0" w:name="_Toc408390906"/>
      <w:r>
        <w:rPr>
          <w:rFonts w:ascii="Arial" w:hAnsi="Arial"/>
          <w:b/>
        </w:rPr>
        <w:tab/>
      </w:r>
      <w:bookmarkStart w:id="1" w:name="_GoBack"/>
      <w:bookmarkEnd w:id="1"/>
    </w:p>
    <w:p w14:paraId="7635D91E" w14:textId="595DC56B" w:rsidR="003006F5" w:rsidRPr="00826C9D" w:rsidRDefault="003006F5" w:rsidP="003006F5">
      <w:pPr>
        <w:jc w:val="center"/>
        <w:rPr>
          <w:rFonts w:ascii="Arial" w:hAnsi="Arial"/>
          <w:b/>
        </w:rPr>
      </w:pPr>
      <w:r w:rsidRPr="00826C9D">
        <w:rPr>
          <w:rFonts w:ascii="Arial" w:hAnsi="Arial"/>
          <w:b/>
        </w:rPr>
        <w:t>GWARANCJA JAKOŚCI</w:t>
      </w:r>
      <w:bookmarkEnd w:id="0"/>
    </w:p>
    <w:sdt>
      <w:sdtPr>
        <w:rPr>
          <w:rFonts w:ascii="Verdana" w:eastAsia="Times New Roman" w:hAnsi="Verdana" w:cs="Arial"/>
          <w:color w:val="auto"/>
          <w:sz w:val="20"/>
          <w:szCs w:val="20"/>
        </w:rPr>
        <w:id w:val="-1966955919"/>
        <w:docPartObj>
          <w:docPartGallery w:val="Table of Contents"/>
          <w:docPartUnique/>
        </w:docPartObj>
      </w:sdtPr>
      <w:sdtEndPr>
        <w:rPr>
          <w:b/>
          <w:bCs/>
        </w:rPr>
      </w:sdtEndPr>
      <w:sdtContent>
        <w:p w14:paraId="0710D9D8" w14:textId="62508095" w:rsidR="004E5BA8" w:rsidRPr="004E5BA8" w:rsidRDefault="004E5BA8">
          <w:pPr>
            <w:pStyle w:val="Nagwekspisutreci"/>
            <w:rPr>
              <w:rFonts w:ascii="Arial" w:hAnsi="Arial"/>
            </w:rPr>
          </w:pPr>
          <w:r>
            <w:t>Spis treści</w:t>
          </w:r>
        </w:p>
        <w:p w14:paraId="5D20B307" w14:textId="297365D6" w:rsidR="00F120FE" w:rsidRDefault="004E5BA8">
          <w:pPr>
            <w:pStyle w:val="Spistreci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18669617" w:history="1">
            <w:r w:rsidR="00F120FE" w:rsidRPr="00E755EF">
              <w:rPr>
                <w:rStyle w:val="Hipercze"/>
                <w:rFonts w:cs="Arial"/>
                <w:noProof/>
              </w:rPr>
              <w:t>INFORMACJE WSTĘPNE</w:t>
            </w:r>
            <w:r w:rsidR="00F120FE">
              <w:rPr>
                <w:noProof/>
                <w:webHidden/>
              </w:rPr>
              <w:tab/>
            </w:r>
            <w:r w:rsidR="00F120FE">
              <w:rPr>
                <w:noProof/>
                <w:webHidden/>
              </w:rPr>
              <w:fldChar w:fldCharType="begin"/>
            </w:r>
            <w:r w:rsidR="00F120FE">
              <w:rPr>
                <w:noProof/>
                <w:webHidden/>
              </w:rPr>
              <w:instrText xml:space="preserve"> PAGEREF _Toc218669617 \h </w:instrText>
            </w:r>
            <w:r w:rsidR="00F120FE">
              <w:rPr>
                <w:noProof/>
                <w:webHidden/>
              </w:rPr>
            </w:r>
            <w:r w:rsidR="00F120FE">
              <w:rPr>
                <w:noProof/>
                <w:webHidden/>
              </w:rPr>
              <w:fldChar w:fldCharType="separate"/>
            </w:r>
            <w:r w:rsidR="00F120FE">
              <w:rPr>
                <w:noProof/>
                <w:webHidden/>
              </w:rPr>
              <w:t>2</w:t>
            </w:r>
            <w:r w:rsidR="00F120FE">
              <w:rPr>
                <w:noProof/>
                <w:webHidden/>
              </w:rPr>
              <w:fldChar w:fldCharType="end"/>
            </w:r>
          </w:hyperlink>
        </w:p>
        <w:p w14:paraId="4A80FE04" w14:textId="51760E60" w:rsidR="00F120FE" w:rsidRDefault="00F120FE">
          <w:pPr>
            <w:pStyle w:val="Spistreci1"/>
            <w:rPr>
              <w:rFonts w:asciiTheme="minorHAnsi" w:eastAsiaTheme="minorEastAsia" w:hAnsiTheme="minorHAnsi" w:cstheme="minorBidi"/>
              <w:noProof/>
              <w:sz w:val="22"/>
              <w:szCs w:val="22"/>
            </w:rPr>
          </w:pPr>
          <w:hyperlink w:anchor="_Toc218669618" w:history="1">
            <w:r w:rsidRPr="00E755EF">
              <w:rPr>
                <w:rStyle w:val="Hipercze"/>
                <w:rFonts w:cs="Arial"/>
                <w:noProof/>
              </w:rPr>
              <w:t>I.</w:t>
            </w:r>
            <w:r>
              <w:rPr>
                <w:rFonts w:asciiTheme="minorHAnsi" w:eastAsiaTheme="minorEastAsia" w:hAnsiTheme="minorHAnsi" w:cstheme="minorBidi"/>
                <w:noProof/>
                <w:sz w:val="22"/>
                <w:szCs w:val="22"/>
              </w:rPr>
              <w:tab/>
            </w:r>
            <w:r w:rsidRPr="00E755EF">
              <w:rPr>
                <w:rStyle w:val="Hipercze"/>
                <w:rFonts w:cs="Arial"/>
                <w:noProof/>
              </w:rPr>
              <w:t>CZĘŚĆ OGÓLNA</w:t>
            </w:r>
            <w:r>
              <w:rPr>
                <w:noProof/>
                <w:webHidden/>
              </w:rPr>
              <w:tab/>
            </w:r>
            <w:r>
              <w:rPr>
                <w:noProof/>
                <w:webHidden/>
              </w:rPr>
              <w:fldChar w:fldCharType="begin"/>
            </w:r>
            <w:r>
              <w:rPr>
                <w:noProof/>
                <w:webHidden/>
              </w:rPr>
              <w:instrText xml:space="preserve"> PAGEREF _Toc218669618 \h </w:instrText>
            </w:r>
            <w:r>
              <w:rPr>
                <w:noProof/>
                <w:webHidden/>
              </w:rPr>
            </w:r>
            <w:r>
              <w:rPr>
                <w:noProof/>
                <w:webHidden/>
              </w:rPr>
              <w:fldChar w:fldCharType="separate"/>
            </w:r>
            <w:r>
              <w:rPr>
                <w:noProof/>
                <w:webHidden/>
              </w:rPr>
              <w:t>3</w:t>
            </w:r>
            <w:r>
              <w:rPr>
                <w:noProof/>
                <w:webHidden/>
              </w:rPr>
              <w:fldChar w:fldCharType="end"/>
            </w:r>
          </w:hyperlink>
        </w:p>
        <w:p w14:paraId="519DBD90" w14:textId="228B53B2"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19" w:history="1">
            <w:r w:rsidRPr="00E755EF">
              <w:rPr>
                <w:rStyle w:val="Hipercze"/>
                <w:smallCaps/>
                <w:noProof/>
              </w:rPr>
              <w:t>1.</w:t>
            </w:r>
            <w:r>
              <w:rPr>
                <w:rFonts w:asciiTheme="minorHAnsi" w:eastAsiaTheme="minorEastAsia" w:hAnsiTheme="minorHAnsi" w:cstheme="minorBidi"/>
                <w:noProof/>
                <w:sz w:val="22"/>
                <w:szCs w:val="22"/>
              </w:rPr>
              <w:tab/>
            </w:r>
            <w:r w:rsidRPr="00E755EF">
              <w:rPr>
                <w:rStyle w:val="Hipercze"/>
                <w:rFonts w:cs="Arial"/>
                <w:smallCaps/>
                <w:noProof/>
              </w:rPr>
              <w:t>Przedmiot i Okres Gwarancji Jakości</w:t>
            </w:r>
            <w:r>
              <w:rPr>
                <w:noProof/>
                <w:webHidden/>
              </w:rPr>
              <w:tab/>
            </w:r>
            <w:r>
              <w:rPr>
                <w:noProof/>
                <w:webHidden/>
              </w:rPr>
              <w:fldChar w:fldCharType="begin"/>
            </w:r>
            <w:r>
              <w:rPr>
                <w:noProof/>
                <w:webHidden/>
              </w:rPr>
              <w:instrText xml:space="preserve"> PAGEREF _Toc218669619 \h </w:instrText>
            </w:r>
            <w:r>
              <w:rPr>
                <w:noProof/>
                <w:webHidden/>
              </w:rPr>
            </w:r>
            <w:r>
              <w:rPr>
                <w:noProof/>
                <w:webHidden/>
              </w:rPr>
              <w:fldChar w:fldCharType="separate"/>
            </w:r>
            <w:r>
              <w:rPr>
                <w:noProof/>
                <w:webHidden/>
              </w:rPr>
              <w:t>3</w:t>
            </w:r>
            <w:r>
              <w:rPr>
                <w:noProof/>
                <w:webHidden/>
              </w:rPr>
              <w:fldChar w:fldCharType="end"/>
            </w:r>
          </w:hyperlink>
        </w:p>
        <w:p w14:paraId="2B7E1C8C" w14:textId="5D4A993A"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0" w:history="1">
            <w:r w:rsidRPr="00E755EF">
              <w:rPr>
                <w:rStyle w:val="Hipercze"/>
                <w:smallCaps/>
                <w:noProof/>
              </w:rPr>
              <w:t>2.</w:t>
            </w:r>
            <w:r>
              <w:rPr>
                <w:rFonts w:asciiTheme="minorHAnsi" w:eastAsiaTheme="minorEastAsia" w:hAnsiTheme="minorHAnsi" w:cstheme="minorBidi"/>
                <w:noProof/>
                <w:sz w:val="22"/>
                <w:szCs w:val="22"/>
              </w:rPr>
              <w:tab/>
            </w:r>
            <w:r w:rsidRPr="00E755EF">
              <w:rPr>
                <w:rStyle w:val="Hipercze"/>
                <w:rFonts w:cs="Arial"/>
                <w:smallCaps/>
                <w:noProof/>
              </w:rPr>
              <w:t>Obowiązki i uprawnienia Stron</w:t>
            </w:r>
            <w:r>
              <w:rPr>
                <w:noProof/>
                <w:webHidden/>
              </w:rPr>
              <w:tab/>
            </w:r>
            <w:r>
              <w:rPr>
                <w:noProof/>
                <w:webHidden/>
              </w:rPr>
              <w:fldChar w:fldCharType="begin"/>
            </w:r>
            <w:r>
              <w:rPr>
                <w:noProof/>
                <w:webHidden/>
              </w:rPr>
              <w:instrText xml:space="preserve"> PAGEREF _Toc218669620 \h </w:instrText>
            </w:r>
            <w:r>
              <w:rPr>
                <w:noProof/>
                <w:webHidden/>
              </w:rPr>
            </w:r>
            <w:r>
              <w:rPr>
                <w:noProof/>
                <w:webHidden/>
              </w:rPr>
              <w:fldChar w:fldCharType="separate"/>
            </w:r>
            <w:r>
              <w:rPr>
                <w:noProof/>
                <w:webHidden/>
              </w:rPr>
              <w:t>3</w:t>
            </w:r>
            <w:r>
              <w:rPr>
                <w:noProof/>
                <w:webHidden/>
              </w:rPr>
              <w:fldChar w:fldCharType="end"/>
            </w:r>
          </w:hyperlink>
        </w:p>
        <w:p w14:paraId="2019FB88" w14:textId="330C7526"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1" w:history="1">
            <w:r w:rsidRPr="00E755EF">
              <w:rPr>
                <w:rStyle w:val="Hipercze"/>
                <w:smallCaps/>
                <w:noProof/>
              </w:rPr>
              <w:t>3.</w:t>
            </w:r>
            <w:r>
              <w:rPr>
                <w:rFonts w:asciiTheme="minorHAnsi" w:eastAsiaTheme="minorEastAsia" w:hAnsiTheme="minorHAnsi" w:cstheme="minorBidi"/>
                <w:noProof/>
                <w:sz w:val="22"/>
                <w:szCs w:val="22"/>
              </w:rPr>
              <w:tab/>
            </w:r>
            <w:r w:rsidRPr="00E755EF">
              <w:rPr>
                <w:rStyle w:val="Hipercze"/>
                <w:rFonts w:cs="Arial"/>
                <w:smallCaps/>
                <w:noProof/>
              </w:rPr>
              <w:t>Upoważnienie Gwaranta (pełnomocnictwo)</w:t>
            </w:r>
            <w:r>
              <w:rPr>
                <w:noProof/>
                <w:webHidden/>
              </w:rPr>
              <w:tab/>
            </w:r>
            <w:r>
              <w:rPr>
                <w:noProof/>
                <w:webHidden/>
              </w:rPr>
              <w:fldChar w:fldCharType="begin"/>
            </w:r>
            <w:r>
              <w:rPr>
                <w:noProof/>
                <w:webHidden/>
              </w:rPr>
              <w:instrText xml:space="preserve"> PAGEREF _Toc218669621 \h </w:instrText>
            </w:r>
            <w:r>
              <w:rPr>
                <w:noProof/>
                <w:webHidden/>
              </w:rPr>
            </w:r>
            <w:r>
              <w:rPr>
                <w:noProof/>
                <w:webHidden/>
              </w:rPr>
              <w:fldChar w:fldCharType="separate"/>
            </w:r>
            <w:r>
              <w:rPr>
                <w:noProof/>
                <w:webHidden/>
              </w:rPr>
              <w:t>4</w:t>
            </w:r>
            <w:r>
              <w:rPr>
                <w:noProof/>
                <w:webHidden/>
              </w:rPr>
              <w:fldChar w:fldCharType="end"/>
            </w:r>
          </w:hyperlink>
        </w:p>
        <w:p w14:paraId="1FD34DA0" w14:textId="45000020"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2" w:history="1">
            <w:r w:rsidRPr="00E755EF">
              <w:rPr>
                <w:rStyle w:val="Hipercze"/>
                <w:smallCaps/>
                <w:noProof/>
              </w:rPr>
              <w:t>4.</w:t>
            </w:r>
            <w:r>
              <w:rPr>
                <w:rFonts w:asciiTheme="minorHAnsi" w:eastAsiaTheme="minorEastAsia" w:hAnsiTheme="minorHAnsi" w:cstheme="minorBidi"/>
                <w:noProof/>
                <w:sz w:val="22"/>
                <w:szCs w:val="22"/>
              </w:rPr>
              <w:tab/>
            </w:r>
            <w:r w:rsidRPr="00E755EF">
              <w:rPr>
                <w:rStyle w:val="Hipercze"/>
                <w:rFonts w:cs="Arial"/>
                <w:smallCaps/>
                <w:noProof/>
              </w:rPr>
              <w:t>Przeglądy gwarancyjne</w:t>
            </w:r>
            <w:r>
              <w:rPr>
                <w:noProof/>
                <w:webHidden/>
              </w:rPr>
              <w:tab/>
            </w:r>
            <w:r>
              <w:rPr>
                <w:noProof/>
                <w:webHidden/>
              </w:rPr>
              <w:fldChar w:fldCharType="begin"/>
            </w:r>
            <w:r>
              <w:rPr>
                <w:noProof/>
                <w:webHidden/>
              </w:rPr>
              <w:instrText xml:space="preserve"> PAGEREF _Toc218669622 \h </w:instrText>
            </w:r>
            <w:r>
              <w:rPr>
                <w:noProof/>
                <w:webHidden/>
              </w:rPr>
            </w:r>
            <w:r>
              <w:rPr>
                <w:noProof/>
                <w:webHidden/>
              </w:rPr>
              <w:fldChar w:fldCharType="separate"/>
            </w:r>
            <w:r>
              <w:rPr>
                <w:noProof/>
                <w:webHidden/>
              </w:rPr>
              <w:t>4</w:t>
            </w:r>
            <w:r>
              <w:rPr>
                <w:noProof/>
                <w:webHidden/>
              </w:rPr>
              <w:fldChar w:fldCharType="end"/>
            </w:r>
          </w:hyperlink>
        </w:p>
        <w:p w14:paraId="0855B5F7" w14:textId="0B5489EA"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3" w:history="1">
            <w:r w:rsidRPr="00E755EF">
              <w:rPr>
                <w:rStyle w:val="Hipercze"/>
                <w:smallCaps/>
                <w:noProof/>
              </w:rPr>
              <w:t>5.</w:t>
            </w:r>
            <w:r>
              <w:rPr>
                <w:rFonts w:asciiTheme="minorHAnsi" w:eastAsiaTheme="minorEastAsia" w:hAnsiTheme="minorHAnsi" w:cstheme="minorBidi"/>
                <w:noProof/>
                <w:sz w:val="22"/>
                <w:szCs w:val="22"/>
              </w:rPr>
              <w:tab/>
            </w:r>
            <w:r w:rsidRPr="00E755EF">
              <w:rPr>
                <w:rStyle w:val="Hipercze"/>
                <w:rFonts w:cs="Arial"/>
                <w:smallCaps/>
                <w:noProof/>
              </w:rPr>
              <w:t>Tryb usuwania Wad</w:t>
            </w:r>
            <w:r>
              <w:rPr>
                <w:noProof/>
                <w:webHidden/>
              </w:rPr>
              <w:tab/>
            </w:r>
            <w:r>
              <w:rPr>
                <w:noProof/>
                <w:webHidden/>
              </w:rPr>
              <w:fldChar w:fldCharType="begin"/>
            </w:r>
            <w:r>
              <w:rPr>
                <w:noProof/>
                <w:webHidden/>
              </w:rPr>
              <w:instrText xml:space="preserve"> PAGEREF _Toc218669623 \h </w:instrText>
            </w:r>
            <w:r>
              <w:rPr>
                <w:noProof/>
                <w:webHidden/>
              </w:rPr>
            </w:r>
            <w:r>
              <w:rPr>
                <w:noProof/>
                <w:webHidden/>
              </w:rPr>
              <w:fldChar w:fldCharType="separate"/>
            </w:r>
            <w:r>
              <w:rPr>
                <w:noProof/>
                <w:webHidden/>
              </w:rPr>
              <w:t>5</w:t>
            </w:r>
            <w:r>
              <w:rPr>
                <w:noProof/>
                <w:webHidden/>
              </w:rPr>
              <w:fldChar w:fldCharType="end"/>
            </w:r>
          </w:hyperlink>
        </w:p>
        <w:p w14:paraId="5B32791B" w14:textId="761C1C3F"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4" w:history="1">
            <w:r w:rsidRPr="00E755EF">
              <w:rPr>
                <w:rStyle w:val="Hipercze"/>
                <w:smallCaps/>
                <w:noProof/>
              </w:rPr>
              <w:t>6.</w:t>
            </w:r>
            <w:r>
              <w:rPr>
                <w:rFonts w:asciiTheme="minorHAnsi" w:eastAsiaTheme="minorEastAsia" w:hAnsiTheme="minorHAnsi" w:cstheme="minorBidi"/>
                <w:noProof/>
                <w:sz w:val="22"/>
                <w:szCs w:val="22"/>
              </w:rPr>
              <w:tab/>
            </w:r>
            <w:r w:rsidRPr="00E755EF">
              <w:rPr>
                <w:rStyle w:val="Hipercze"/>
                <w:rFonts w:cs="Arial"/>
                <w:smallCaps/>
                <w:noProof/>
              </w:rPr>
              <w:t>Komunikacja</w:t>
            </w:r>
            <w:r>
              <w:rPr>
                <w:noProof/>
                <w:webHidden/>
              </w:rPr>
              <w:tab/>
            </w:r>
            <w:r>
              <w:rPr>
                <w:noProof/>
                <w:webHidden/>
              </w:rPr>
              <w:fldChar w:fldCharType="begin"/>
            </w:r>
            <w:r>
              <w:rPr>
                <w:noProof/>
                <w:webHidden/>
              </w:rPr>
              <w:instrText xml:space="preserve"> PAGEREF _Toc218669624 \h </w:instrText>
            </w:r>
            <w:r>
              <w:rPr>
                <w:noProof/>
                <w:webHidden/>
              </w:rPr>
            </w:r>
            <w:r>
              <w:rPr>
                <w:noProof/>
                <w:webHidden/>
              </w:rPr>
              <w:fldChar w:fldCharType="separate"/>
            </w:r>
            <w:r>
              <w:rPr>
                <w:noProof/>
                <w:webHidden/>
              </w:rPr>
              <w:t>6</w:t>
            </w:r>
            <w:r>
              <w:rPr>
                <w:noProof/>
                <w:webHidden/>
              </w:rPr>
              <w:fldChar w:fldCharType="end"/>
            </w:r>
          </w:hyperlink>
        </w:p>
        <w:p w14:paraId="3A5CD960" w14:textId="5D5B636B"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5" w:history="1">
            <w:r w:rsidRPr="00E755EF">
              <w:rPr>
                <w:rStyle w:val="Hipercze"/>
                <w:smallCaps/>
                <w:noProof/>
              </w:rPr>
              <w:t>7.</w:t>
            </w:r>
            <w:r>
              <w:rPr>
                <w:rFonts w:asciiTheme="minorHAnsi" w:eastAsiaTheme="minorEastAsia" w:hAnsiTheme="minorHAnsi" w:cstheme="minorBidi"/>
                <w:noProof/>
                <w:sz w:val="22"/>
                <w:szCs w:val="22"/>
              </w:rPr>
              <w:tab/>
            </w:r>
            <w:r w:rsidRPr="00E755EF">
              <w:rPr>
                <w:rStyle w:val="Hipercze"/>
                <w:rFonts w:cs="Arial"/>
                <w:smallCaps/>
                <w:noProof/>
              </w:rPr>
              <w:t>Kary</w:t>
            </w:r>
            <w:r>
              <w:rPr>
                <w:noProof/>
                <w:webHidden/>
              </w:rPr>
              <w:tab/>
            </w:r>
            <w:r>
              <w:rPr>
                <w:noProof/>
                <w:webHidden/>
              </w:rPr>
              <w:fldChar w:fldCharType="begin"/>
            </w:r>
            <w:r>
              <w:rPr>
                <w:noProof/>
                <w:webHidden/>
              </w:rPr>
              <w:instrText xml:space="preserve"> PAGEREF _Toc218669625 \h </w:instrText>
            </w:r>
            <w:r>
              <w:rPr>
                <w:noProof/>
                <w:webHidden/>
              </w:rPr>
            </w:r>
            <w:r>
              <w:rPr>
                <w:noProof/>
                <w:webHidden/>
              </w:rPr>
              <w:fldChar w:fldCharType="separate"/>
            </w:r>
            <w:r>
              <w:rPr>
                <w:noProof/>
                <w:webHidden/>
              </w:rPr>
              <w:t>7</w:t>
            </w:r>
            <w:r>
              <w:rPr>
                <w:noProof/>
                <w:webHidden/>
              </w:rPr>
              <w:fldChar w:fldCharType="end"/>
            </w:r>
          </w:hyperlink>
        </w:p>
        <w:p w14:paraId="170C062E" w14:textId="4E0D5FB3"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6" w:history="1">
            <w:r w:rsidRPr="00E755EF">
              <w:rPr>
                <w:rStyle w:val="Hipercze"/>
                <w:smallCaps/>
                <w:noProof/>
              </w:rPr>
              <w:t>8.</w:t>
            </w:r>
            <w:r>
              <w:rPr>
                <w:rFonts w:asciiTheme="minorHAnsi" w:eastAsiaTheme="minorEastAsia" w:hAnsiTheme="minorHAnsi" w:cstheme="minorBidi"/>
                <w:noProof/>
                <w:sz w:val="22"/>
                <w:szCs w:val="22"/>
              </w:rPr>
              <w:tab/>
            </w:r>
            <w:r w:rsidRPr="00E755EF">
              <w:rPr>
                <w:rStyle w:val="Hipercze"/>
                <w:rFonts w:cs="Arial"/>
                <w:smallCaps/>
                <w:noProof/>
              </w:rPr>
              <w:t>Postanowienia końcowe</w:t>
            </w:r>
            <w:r>
              <w:rPr>
                <w:noProof/>
                <w:webHidden/>
              </w:rPr>
              <w:tab/>
            </w:r>
            <w:r>
              <w:rPr>
                <w:noProof/>
                <w:webHidden/>
              </w:rPr>
              <w:fldChar w:fldCharType="begin"/>
            </w:r>
            <w:r>
              <w:rPr>
                <w:noProof/>
                <w:webHidden/>
              </w:rPr>
              <w:instrText xml:space="preserve"> PAGEREF _Toc218669626 \h </w:instrText>
            </w:r>
            <w:r>
              <w:rPr>
                <w:noProof/>
                <w:webHidden/>
              </w:rPr>
            </w:r>
            <w:r>
              <w:rPr>
                <w:noProof/>
                <w:webHidden/>
              </w:rPr>
              <w:fldChar w:fldCharType="separate"/>
            </w:r>
            <w:r>
              <w:rPr>
                <w:noProof/>
                <w:webHidden/>
              </w:rPr>
              <w:t>7</w:t>
            </w:r>
            <w:r>
              <w:rPr>
                <w:noProof/>
                <w:webHidden/>
              </w:rPr>
              <w:fldChar w:fldCharType="end"/>
            </w:r>
          </w:hyperlink>
        </w:p>
        <w:p w14:paraId="4355BF12" w14:textId="188CF9F2" w:rsidR="00F120FE" w:rsidRDefault="00F120FE">
          <w:pPr>
            <w:pStyle w:val="Spistreci1"/>
            <w:rPr>
              <w:rFonts w:asciiTheme="minorHAnsi" w:eastAsiaTheme="minorEastAsia" w:hAnsiTheme="minorHAnsi" w:cstheme="minorBidi"/>
              <w:noProof/>
              <w:sz w:val="22"/>
              <w:szCs w:val="22"/>
            </w:rPr>
          </w:pPr>
          <w:hyperlink w:anchor="_Toc218669627" w:history="1">
            <w:r w:rsidRPr="00E755EF">
              <w:rPr>
                <w:rStyle w:val="Hipercze"/>
                <w:rFonts w:cs="Arial"/>
                <w:noProof/>
              </w:rPr>
              <w:t>II.</w:t>
            </w:r>
            <w:r>
              <w:rPr>
                <w:rFonts w:asciiTheme="minorHAnsi" w:eastAsiaTheme="minorEastAsia" w:hAnsiTheme="minorHAnsi" w:cstheme="minorBidi"/>
                <w:noProof/>
                <w:sz w:val="22"/>
                <w:szCs w:val="22"/>
              </w:rPr>
              <w:tab/>
            </w:r>
            <w:r w:rsidRPr="00E755EF">
              <w:rPr>
                <w:rStyle w:val="Hipercze"/>
                <w:rFonts w:cs="Arial"/>
                <w:noProof/>
              </w:rPr>
              <w:t>CZĘŚĆ SZCZEGÓŁOWA</w:t>
            </w:r>
            <w:r>
              <w:rPr>
                <w:noProof/>
                <w:webHidden/>
              </w:rPr>
              <w:tab/>
            </w:r>
            <w:r>
              <w:rPr>
                <w:noProof/>
                <w:webHidden/>
              </w:rPr>
              <w:fldChar w:fldCharType="begin"/>
            </w:r>
            <w:r>
              <w:rPr>
                <w:noProof/>
                <w:webHidden/>
              </w:rPr>
              <w:instrText xml:space="preserve"> PAGEREF _Toc218669627 \h </w:instrText>
            </w:r>
            <w:r>
              <w:rPr>
                <w:noProof/>
                <w:webHidden/>
              </w:rPr>
            </w:r>
            <w:r>
              <w:rPr>
                <w:noProof/>
                <w:webHidden/>
              </w:rPr>
              <w:fldChar w:fldCharType="separate"/>
            </w:r>
            <w:r>
              <w:rPr>
                <w:noProof/>
                <w:webHidden/>
              </w:rPr>
              <w:t>8</w:t>
            </w:r>
            <w:r>
              <w:rPr>
                <w:noProof/>
                <w:webHidden/>
              </w:rPr>
              <w:fldChar w:fldCharType="end"/>
            </w:r>
          </w:hyperlink>
        </w:p>
        <w:p w14:paraId="4B8FDD65" w14:textId="7E9EE860"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8" w:history="1">
            <w:r w:rsidRPr="00E755EF">
              <w:rPr>
                <w:rStyle w:val="Hipercze"/>
                <w:smallCaps/>
                <w:noProof/>
              </w:rPr>
              <w:t>1.</w:t>
            </w:r>
            <w:r>
              <w:rPr>
                <w:rFonts w:asciiTheme="minorHAnsi" w:eastAsiaTheme="minorEastAsia" w:hAnsiTheme="minorHAnsi" w:cstheme="minorBidi"/>
                <w:noProof/>
                <w:sz w:val="22"/>
                <w:szCs w:val="22"/>
              </w:rPr>
              <w:tab/>
            </w:r>
            <w:r w:rsidRPr="00E755EF">
              <w:rPr>
                <w:rStyle w:val="Hipercze"/>
                <w:rFonts w:cs="Arial"/>
                <w:smallCaps/>
                <w:noProof/>
              </w:rPr>
              <w:t>Postanowienia ogólne</w:t>
            </w:r>
            <w:r>
              <w:rPr>
                <w:noProof/>
                <w:webHidden/>
              </w:rPr>
              <w:tab/>
            </w:r>
            <w:r>
              <w:rPr>
                <w:noProof/>
                <w:webHidden/>
              </w:rPr>
              <w:fldChar w:fldCharType="begin"/>
            </w:r>
            <w:r>
              <w:rPr>
                <w:noProof/>
                <w:webHidden/>
              </w:rPr>
              <w:instrText xml:space="preserve"> PAGEREF _Toc218669628 \h </w:instrText>
            </w:r>
            <w:r>
              <w:rPr>
                <w:noProof/>
                <w:webHidden/>
              </w:rPr>
            </w:r>
            <w:r>
              <w:rPr>
                <w:noProof/>
                <w:webHidden/>
              </w:rPr>
              <w:fldChar w:fldCharType="separate"/>
            </w:r>
            <w:r>
              <w:rPr>
                <w:noProof/>
                <w:webHidden/>
              </w:rPr>
              <w:t>8</w:t>
            </w:r>
            <w:r>
              <w:rPr>
                <w:noProof/>
                <w:webHidden/>
              </w:rPr>
              <w:fldChar w:fldCharType="end"/>
            </w:r>
          </w:hyperlink>
        </w:p>
        <w:p w14:paraId="692D4CF2" w14:textId="14E00865"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29" w:history="1">
            <w:r w:rsidRPr="00E755EF">
              <w:rPr>
                <w:rStyle w:val="Hipercze"/>
                <w:smallCaps/>
                <w:noProof/>
              </w:rPr>
              <w:t>2.</w:t>
            </w:r>
            <w:r>
              <w:rPr>
                <w:rFonts w:asciiTheme="minorHAnsi" w:eastAsiaTheme="minorEastAsia" w:hAnsiTheme="minorHAnsi" w:cstheme="minorBidi"/>
                <w:noProof/>
                <w:sz w:val="22"/>
                <w:szCs w:val="22"/>
              </w:rPr>
              <w:tab/>
            </w:r>
            <w:r w:rsidRPr="00E755EF">
              <w:rPr>
                <w:rStyle w:val="Hipercze"/>
                <w:rFonts w:cs="Arial"/>
                <w:noProof/>
              </w:rPr>
              <w:t>Zakres gwarancji dla elementów wymienionych w Części Szczegółowej:</w:t>
            </w:r>
            <w:r>
              <w:rPr>
                <w:noProof/>
                <w:webHidden/>
              </w:rPr>
              <w:tab/>
            </w:r>
            <w:r>
              <w:rPr>
                <w:noProof/>
                <w:webHidden/>
              </w:rPr>
              <w:fldChar w:fldCharType="begin"/>
            </w:r>
            <w:r>
              <w:rPr>
                <w:noProof/>
                <w:webHidden/>
              </w:rPr>
              <w:instrText xml:space="preserve"> PAGEREF _Toc218669629 \h </w:instrText>
            </w:r>
            <w:r>
              <w:rPr>
                <w:noProof/>
                <w:webHidden/>
              </w:rPr>
            </w:r>
            <w:r>
              <w:rPr>
                <w:noProof/>
                <w:webHidden/>
              </w:rPr>
              <w:fldChar w:fldCharType="separate"/>
            </w:r>
            <w:r>
              <w:rPr>
                <w:noProof/>
                <w:webHidden/>
              </w:rPr>
              <w:t>8</w:t>
            </w:r>
            <w:r>
              <w:rPr>
                <w:noProof/>
                <w:webHidden/>
              </w:rPr>
              <w:fldChar w:fldCharType="end"/>
            </w:r>
          </w:hyperlink>
        </w:p>
        <w:p w14:paraId="09EDD747" w14:textId="51270597"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0" w:history="1">
            <w:r w:rsidRPr="00E755EF">
              <w:rPr>
                <w:rStyle w:val="Hipercze"/>
                <w:rFonts w:cs="Arial"/>
                <w:noProof/>
              </w:rPr>
              <w:t>2.1</w:t>
            </w:r>
            <w:r>
              <w:rPr>
                <w:rFonts w:asciiTheme="minorHAnsi" w:eastAsiaTheme="minorEastAsia" w:hAnsiTheme="minorHAnsi" w:cstheme="minorBidi"/>
                <w:noProof/>
                <w:sz w:val="22"/>
                <w:szCs w:val="22"/>
              </w:rPr>
              <w:tab/>
            </w:r>
            <w:r w:rsidRPr="00E755EF">
              <w:rPr>
                <w:rStyle w:val="Hipercze"/>
                <w:noProof/>
              </w:rPr>
              <w:t>Nawierzchnie podatne i półsztywne</w:t>
            </w:r>
            <w:r>
              <w:rPr>
                <w:noProof/>
                <w:webHidden/>
              </w:rPr>
              <w:tab/>
            </w:r>
            <w:r>
              <w:rPr>
                <w:noProof/>
                <w:webHidden/>
              </w:rPr>
              <w:fldChar w:fldCharType="begin"/>
            </w:r>
            <w:r>
              <w:rPr>
                <w:noProof/>
                <w:webHidden/>
              </w:rPr>
              <w:instrText xml:space="preserve"> PAGEREF _Toc218669630 \h </w:instrText>
            </w:r>
            <w:r>
              <w:rPr>
                <w:noProof/>
                <w:webHidden/>
              </w:rPr>
            </w:r>
            <w:r>
              <w:rPr>
                <w:noProof/>
                <w:webHidden/>
              </w:rPr>
              <w:fldChar w:fldCharType="separate"/>
            </w:r>
            <w:r>
              <w:rPr>
                <w:noProof/>
                <w:webHidden/>
              </w:rPr>
              <w:t>8</w:t>
            </w:r>
            <w:r>
              <w:rPr>
                <w:noProof/>
                <w:webHidden/>
              </w:rPr>
              <w:fldChar w:fldCharType="end"/>
            </w:r>
          </w:hyperlink>
        </w:p>
        <w:p w14:paraId="04687FD6" w14:textId="2279B954"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31" w:history="1">
            <w:r w:rsidRPr="00E755EF">
              <w:rPr>
                <w:rStyle w:val="Hipercze"/>
                <w:rFonts w:cs="Arial"/>
                <w:noProof/>
              </w:rPr>
              <w:t>3.</w:t>
            </w:r>
            <w:r>
              <w:rPr>
                <w:rFonts w:asciiTheme="minorHAnsi" w:eastAsiaTheme="minorEastAsia" w:hAnsiTheme="minorHAnsi" w:cstheme="minorBidi"/>
                <w:noProof/>
                <w:sz w:val="22"/>
                <w:szCs w:val="22"/>
              </w:rPr>
              <w:tab/>
            </w:r>
            <w:r w:rsidRPr="00E755EF">
              <w:rPr>
                <w:rStyle w:val="Hipercze"/>
                <w:rFonts w:cs="Arial"/>
                <w:noProof/>
              </w:rPr>
              <w:t>EKRANY AKUSTYCZNE</w:t>
            </w:r>
            <w:r>
              <w:rPr>
                <w:noProof/>
                <w:webHidden/>
              </w:rPr>
              <w:tab/>
            </w:r>
            <w:r>
              <w:rPr>
                <w:noProof/>
                <w:webHidden/>
              </w:rPr>
              <w:fldChar w:fldCharType="begin"/>
            </w:r>
            <w:r>
              <w:rPr>
                <w:noProof/>
                <w:webHidden/>
              </w:rPr>
              <w:instrText xml:space="preserve"> PAGEREF _Toc218669631 \h </w:instrText>
            </w:r>
            <w:r>
              <w:rPr>
                <w:noProof/>
                <w:webHidden/>
              </w:rPr>
            </w:r>
            <w:r>
              <w:rPr>
                <w:noProof/>
                <w:webHidden/>
              </w:rPr>
              <w:fldChar w:fldCharType="separate"/>
            </w:r>
            <w:r>
              <w:rPr>
                <w:noProof/>
                <w:webHidden/>
              </w:rPr>
              <w:t>14</w:t>
            </w:r>
            <w:r>
              <w:rPr>
                <w:noProof/>
                <w:webHidden/>
              </w:rPr>
              <w:fldChar w:fldCharType="end"/>
            </w:r>
          </w:hyperlink>
        </w:p>
        <w:p w14:paraId="37FCDB55" w14:textId="047FE683"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2" w:history="1">
            <w:r w:rsidRPr="00E755EF">
              <w:rPr>
                <w:rStyle w:val="Hipercze"/>
                <w:noProof/>
              </w:rPr>
              <w:t>3.1</w:t>
            </w:r>
            <w:r>
              <w:rPr>
                <w:rFonts w:asciiTheme="minorHAnsi" w:eastAsiaTheme="minorEastAsia" w:hAnsiTheme="minorHAnsi" w:cstheme="minorBidi"/>
                <w:noProof/>
                <w:sz w:val="22"/>
                <w:szCs w:val="22"/>
              </w:rPr>
              <w:tab/>
            </w:r>
            <w:r w:rsidRPr="00E755EF">
              <w:rPr>
                <w:rStyle w:val="Hipercze"/>
                <w:noProof/>
              </w:rPr>
              <w:t>Wypełnienia przezroczyste</w:t>
            </w:r>
            <w:r>
              <w:rPr>
                <w:noProof/>
                <w:webHidden/>
              </w:rPr>
              <w:tab/>
            </w:r>
            <w:r>
              <w:rPr>
                <w:noProof/>
                <w:webHidden/>
              </w:rPr>
              <w:fldChar w:fldCharType="begin"/>
            </w:r>
            <w:r>
              <w:rPr>
                <w:noProof/>
                <w:webHidden/>
              </w:rPr>
              <w:instrText xml:space="preserve"> PAGEREF _Toc218669632 \h </w:instrText>
            </w:r>
            <w:r>
              <w:rPr>
                <w:noProof/>
                <w:webHidden/>
              </w:rPr>
            </w:r>
            <w:r>
              <w:rPr>
                <w:noProof/>
                <w:webHidden/>
              </w:rPr>
              <w:fldChar w:fldCharType="separate"/>
            </w:r>
            <w:r>
              <w:rPr>
                <w:noProof/>
                <w:webHidden/>
              </w:rPr>
              <w:t>14</w:t>
            </w:r>
            <w:r>
              <w:rPr>
                <w:noProof/>
                <w:webHidden/>
              </w:rPr>
              <w:fldChar w:fldCharType="end"/>
            </w:r>
          </w:hyperlink>
        </w:p>
        <w:p w14:paraId="7A771442" w14:textId="6912A33D"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3" w:history="1">
            <w:r w:rsidRPr="00E755EF">
              <w:rPr>
                <w:rStyle w:val="Hipercze"/>
                <w:noProof/>
              </w:rPr>
              <w:t>3.2</w:t>
            </w:r>
            <w:r>
              <w:rPr>
                <w:rFonts w:asciiTheme="minorHAnsi" w:eastAsiaTheme="minorEastAsia" w:hAnsiTheme="minorHAnsi" w:cstheme="minorBidi"/>
                <w:noProof/>
                <w:sz w:val="22"/>
                <w:szCs w:val="22"/>
              </w:rPr>
              <w:tab/>
            </w:r>
            <w:r w:rsidRPr="00E755EF">
              <w:rPr>
                <w:rStyle w:val="Hipercze"/>
                <w:noProof/>
              </w:rPr>
              <w:t>Wypełnienia nieprzezroczyste</w:t>
            </w:r>
            <w:r>
              <w:rPr>
                <w:noProof/>
                <w:webHidden/>
              </w:rPr>
              <w:tab/>
            </w:r>
            <w:r>
              <w:rPr>
                <w:noProof/>
                <w:webHidden/>
              </w:rPr>
              <w:fldChar w:fldCharType="begin"/>
            </w:r>
            <w:r>
              <w:rPr>
                <w:noProof/>
                <w:webHidden/>
              </w:rPr>
              <w:instrText xml:space="preserve"> PAGEREF _Toc218669633 \h </w:instrText>
            </w:r>
            <w:r>
              <w:rPr>
                <w:noProof/>
                <w:webHidden/>
              </w:rPr>
            </w:r>
            <w:r>
              <w:rPr>
                <w:noProof/>
                <w:webHidden/>
              </w:rPr>
              <w:fldChar w:fldCharType="separate"/>
            </w:r>
            <w:r>
              <w:rPr>
                <w:noProof/>
                <w:webHidden/>
              </w:rPr>
              <w:t>14</w:t>
            </w:r>
            <w:r>
              <w:rPr>
                <w:noProof/>
                <w:webHidden/>
              </w:rPr>
              <w:fldChar w:fldCharType="end"/>
            </w:r>
          </w:hyperlink>
        </w:p>
        <w:p w14:paraId="455113A6" w14:textId="3C8C01A4"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4" w:history="1">
            <w:r w:rsidRPr="00E755EF">
              <w:rPr>
                <w:rStyle w:val="Hipercze"/>
                <w:noProof/>
              </w:rPr>
              <w:t>3.3</w:t>
            </w:r>
            <w:r>
              <w:rPr>
                <w:rFonts w:asciiTheme="minorHAnsi" w:eastAsiaTheme="minorEastAsia" w:hAnsiTheme="minorHAnsi" w:cstheme="minorBidi"/>
                <w:noProof/>
                <w:sz w:val="22"/>
                <w:szCs w:val="22"/>
              </w:rPr>
              <w:tab/>
            </w:r>
            <w:r w:rsidRPr="00E755EF">
              <w:rPr>
                <w:rStyle w:val="Hipercze"/>
                <w:noProof/>
              </w:rPr>
              <w:t>Ekrany i wały ziemne</w:t>
            </w:r>
            <w:r>
              <w:rPr>
                <w:noProof/>
                <w:webHidden/>
              </w:rPr>
              <w:tab/>
            </w:r>
            <w:r>
              <w:rPr>
                <w:noProof/>
                <w:webHidden/>
              </w:rPr>
              <w:fldChar w:fldCharType="begin"/>
            </w:r>
            <w:r>
              <w:rPr>
                <w:noProof/>
                <w:webHidden/>
              </w:rPr>
              <w:instrText xml:space="preserve"> PAGEREF _Toc218669634 \h </w:instrText>
            </w:r>
            <w:r>
              <w:rPr>
                <w:noProof/>
                <w:webHidden/>
              </w:rPr>
            </w:r>
            <w:r>
              <w:rPr>
                <w:noProof/>
                <w:webHidden/>
              </w:rPr>
              <w:fldChar w:fldCharType="separate"/>
            </w:r>
            <w:r>
              <w:rPr>
                <w:noProof/>
                <w:webHidden/>
              </w:rPr>
              <w:t>16</w:t>
            </w:r>
            <w:r>
              <w:rPr>
                <w:noProof/>
                <w:webHidden/>
              </w:rPr>
              <w:fldChar w:fldCharType="end"/>
            </w:r>
          </w:hyperlink>
        </w:p>
        <w:p w14:paraId="526BA1E4" w14:textId="59901A32"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5" w:history="1">
            <w:r w:rsidRPr="00E755EF">
              <w:rPr>
                <w:rStyle w:val="Hipercze"/>
                <w:noProof/>
              </w:rPr>
              <w:t>3.4</w:t>
            </w:r>
            <w:r>
              <w:rPr>
                <w:rFonts w:asciiTheme="minorHAnsi" w:eastAsiaTheme="minorEastAsia" w:hAnsiTheme="minorHAnsi" w:cstheme="minorBidi"/>
                <w:noProof/>
                <w:sz w:val="22"/>
                <w:szCs w:val="22"/>
              </w:rPr>
              <w:tab/>
            </w:r>
            <w:r w:rsidRPr="00E755EF">
              <w:rPr>
                <w:rStyle w:val="Hipercze"/>
                <w:noProof/>
              </w:rPr>
              <w:t>Elementy metalowe konstrukcji ekranów (słupy, ramy itd.)</w:t>
            </w:r>
            <w:r>
              <w:rPr>
                <w:noProof/>
                <w:webHidden/>
              </w:rPr>
              <w:tab/>
            </w:r>
            <w:r>
              <w:rPr>
                <w:noProof/>
                <w:webHidden/>
              </w:rPr>
              <w:fldChar w:fldCharType="begin"/>
            </w:r>
            <w:r>
              <w:rPr>
                <w:noProof/>
                <w:webHidden/>
              </w:rPr>
              <w:instrText xml:space="preserve"> PAGEREF _Toc218669635 \h </w:instrText>
            </w:r>
            <w:r>
              <w:rPr>
                <w:noProof/>
                <w:webHidden/>
              </w:rPr>
            </w:r>
            <w:r>
              <w:rPr>
                <w:noProof/>
                <w:webHidden/>
              </w:rPr>
              <w:fldChar w:fldCharType="separate"/>
            </w:r>
            <w:r>
              <w:rPr>
                <w:noProof/>
                <w:webHidden/>
              </w:rPr>
              <w:t>16</w:t>
            </w:r>
            <w:r>
              <w:rPr>
                <w:noProof/>
                <w:webHidden/>
              </w:rPr>
              <w:fldChar w:fldCharType="end"/>
            </w:r>
          </w:hyperlink>
        </w:p>
        <w:p w14:paraId="062E98D3" w14:textId="7C0CB174"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6" w:history="1">
            <w:r w:rsidRPr="00E755EF">
              <w:rPr>
                <w:rStyle w:val="Hipercze"/>
                <w:noProof/>
              </w:rPr>
              <w:t>3.5</w:t>
            </w:r>
            <w:r>
              <w:rPr>
                <w:rFonts w:asciiTheme="minorHAnsi" w:eastAsiaTheme="minorEastAsia" w:hAnsiTheme="minorHAnsi" w:cstheme="minorBidi"/>
                <w:noProof/>
                <w:sz w:val="22"/>
                <w:szCs w:val="22"/>
              </w:rPr>
              <w:tab/>
            </w:r>
            <w:r w:rsidRPr="00E755EF">
              <w:rPr>
                <w:rStyle w:val="Hipercze"/>
                <w:noProof/>
              </w:rPr>
              <w:t>Elementy betonowe konstrukcji ekranów (widoczne części pali, podwalina ekranu)</w:t>
            </w:r>
            <w:r>
              <w:rPr>
                <w:noProof/>
                <w:webHidden/>
              </w:rPr>
              <w:tab/>
            </w:r>
            <w:r>
              <w:rPr>
                <w:noProof/>
                <w:webHidden/>
              </w:rPr>
              <w:fldChar w:fldCharType="begin"/>
            </w:r>
            <w:r>
              <w:rPr>
                <w:noProof/>
                <w:webHidden/>
              </w:rPr>
              <w:instrText xml:space="preserve"> PAGEREF _Toc218669636 \h </w:instrText>
            </w:r>
            <w:r>
              <w:rPr>
                <w:noProof/>
                <w:webHidden/>
              </w:rPr>
            </w:r>
            <w:r>
              <w:rPr>
                <w:noProof/>
                <w:webHidden/>
              </w:rPr>
              <w:fldChar w:fldCharType="separate"/>
            </w:r>
            <w:r>
              <w:rPr>
                <w:noProof/>
                <w:webHidden/>
              </w:rPr>
              <w:t>17</w:t>
            </w:r>
            <w:r>
              <w:rPr>
                <w:noProof/>
                <w:webHidden/>
              </w:rPr>
              <w:fldChar w:fldCharType="end"/>
            </w:r>
          </w:hyperlink>
        </w:p>
        <w:p w14:paraId="44A986D5" w14:textId="22EB4A7C"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37" w:history="1">
            <w:r w:rsidRPr="00E755EF">
              <w:rPr>
                <w:rStyle w:val="Hipercze"/>
                <w:rFonts w:cs="Arial"/>
                <w:noProof/>
              </w:rPr>
              <w:t>4.</w:t>
            </w:r>
            <w:r>
              <w:rPr>
                <w:rFonts w:asciiTheme="minorHAnsi" w:eastAsiaTheme="minorEastAsia" w:hAnsiTheme="minorHAnsi" w:cstheme="minorBidi"/>
                <w:noProof/>
                <w:sz w:val="22"/>
                <w:szCs w:val="22"/>
              </w:rPr>
              <w:tab/>
            </w:r>
            <w:r w:rsidRPr="00E755EF">
              <w:rPr>
                <w:rStyle w:val="Hipercze"/>
                <w:rFonts w:cs="Arial"/>
                <w:noProof/>
              </w:rPr>
              <w:t>OZNAKOWANIE DRÓG ORAZ URZĄDZENIA BEZPIECZEŃSTWA RUCHU</w:t>
            </w:r>
            <w:r>
              <w:rPr>
                <w:noProof/>
                <w:webHidden/>
              </w:rPr>
              <w:tab/>
            </w:r>
            <w:r>
              <w:rPr>
                <w:noProof/>
                <w:webHidden/>
              </w:rPr>
              <w:fldChar w:fldCharType="begin"/>
            </w:r>
            <w:r>
              <w:rPr>
                <w:noProof/>
                <w:webHidden/>
              </w:rPr>
              <w:instrText xml:space="preserve"> PAGEREF _Toc218669637 \h </w:instrText>
            </w:r>
            <w:r>
              <w:rPr>
                <w:noProof/>
                <w:webHidden/>
              </w:rPr>
            </w:r>
            <w:r>
              <w:rPr>
                <w:noProof/>
                <w:webHidden/>
              </w:rPr>
              <w:fldChar w:fldCharType="separate"/>
            </w:r>
            <w:r>
              <w:rPr>
                <w:noProof/>
                <w:webHidden/>
              </w:rPr>
              <w:t>18</w:t>
            </w:r>
            <w:r>
              <w:rPr>
                <w:noProof/>
                <w:webHidden/>
              </w:rPr>
              <w:fldChar w:fldCharType="end"/>
            </w:r>
          </w:hyperlink>
        </w:p>
        <w:p w14:paraId="36A66B5A" w14:textId="4ED3CD36"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8" w:history="1">
            <w:r w:rsidRPr="00E755EF">
              <w:rPr>
                <w:rStyle w:val="Hipercze"/>
                <w:noProof/>
              </w:rPr>
              <w:t>4.1</w:t>
            </w:r>
            <w:r>
              <w:rPr>
                <w:rFonts w:asciiTheme="minorHAnsi" w:eastAsiaTheme="minorEastAsia" w:hAnsiTheme="minorHAnsi" w:cstheme="minorBidi"/>
                <w:noProof/>
                <w:sz w:val="22"/>
                <w:szCs w:val="22"/>
              </w:rPr>
              <w:tab/>
            </w:r>
            <w:r w:rsidRPr="00E755EF">
              <w:rPr>
                <w:rStyle w:val="Hipercze"/>
                <w:noProof/>
              </w:rPr>
              <w:t>Oznakowanie poziome</w:t>
            </w:r>
            <w:r>
              <w:rPr>
                <w:noProof/>
                <w:webHidden/>
              </w:rPr>
              <w:tab/>
            </w:r>
            <w:r>
              <w:rPr>
                <w:noProof/>
                <w:webHidden/>
              </w:rPr>
              <w:fldChar w:fldCharType="begin"/>
            </w:r>
            <w:r>
              <w:rPr>
                <w:noProof/>
                <w:webHidden/>
              </w:rPr>
              <w:instrText xml:space="preserve"> PAGEREF _Toc218669638 \h </w:instrText>
            </w:r>
            <w:r>
              <w:rPr>
                <w:noProof/>
                <w:webHidden/>
              </w:rPr>
            </w:r>
            <w:r>
              <w:rPr>
                <w:noProof/>
                <w:webHidden/>
              </w:rPr>
              <w:fldChar w:fldCharType="separate"/>
            </w:r>
            <w:r>
              <w:rPr>
                <w:noProof/>
                <w:webHidden/>
              </w:rPr>
              <w:t>18</w:t>
            </w:r>
            <w:r>
              <w:rPr>
                <w:noProof/>
                <w:webHidden/>
              </w:rPr>
              <w:fldChar w:fldCharType="end"/>
            </w:r>
          </w:hyperlink>
        </w:p>
        <w:p w14:paraId="29712A99" w14:textId="354F2F0C"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39" w:history="1">
            <w:r w:rsidRPr="00E755EF">
              <w:rPr>
                <w:rStyle w:val="Hipercze"/>
                <w:noProof/>
              </w:rPr>
              <w:t>4.2</w:t>
            </w:r>
            <w:r>
              <w:rPr>
                <w:rFonts w:asciiTheme="minorHAnsi" w:eastAsiaTheme="minorEastAsia" w:hAnsiTheme="minorHAnsi" w:cstheme="minorBidi"/>
                <w:noProof/>
                <w:sz w:val="22"/>
                <w:szCs w:val="22"/>
              </w:rPr>
              <w:tab/>
            </w:r>
            <w:r w:rsidRPr="00E755EF">
              <w:rPr>
                <w:rStyle w:val="Hipercze"/>
                <w:noProof/>
              </w:rPr>
              <w:t>Oznakowanie pionowe</w:t>
            </w:r>
            <w:r>
              <w:rPr>
                <w:noProof/>
                <w:webHidden/>
              </w:rPr>
              <w:tab/>
            </w:r>
            <w:r>
              <w:rPr>
                <w:noProof/>
                <w:webHidden/>
              </w:rPr>
              <w:fldChar w:fldCharType="begin"/>
            </w:r>
            <w:r>
              <w:rPr>
                <w:noProof/>
                <w:webHidden/>
              </w:rPr>
              <w:instrText xml:space="preserve"> PAGEREF _Toc218669639 \h </w:instrText>
            </w:r>
            <w:r>
              <w:rPr>
                <w:noProof/>
                <w:webHidden/>
              </w:rPr>
            </w:r>
            <w:r>
              <w:rPr>
                <w:noProof/>
                <w:webHidden/>
              </w:rPr>
              <w:fldChar w:fldCharType="separate"/>
            </w:r>
            <w:r>
              <w:rPr>
                <w:noProof/>
                <w:webHidden/>
              </w:rPr>
              <w:t>18</w:t>
            </w:r>
            <w:r>
              <w:rPr>
                <w:noProof/>
                <w:webHidden/>
              </w:rPr>
              <w:fldChar w:fldCharType="end"/>
            </w:r>
          </w:hyperlink>
        </w:p>
        <w:p w14:paraId="757BED52" w14:textId="421270D3"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40" w:history="1">
            <w:r w:rsidRPr="00E755EF">
              <w:rPr>
                <w:rStyle w:val="Hipercze"/>
                <w:noProof/>
              </w:rPr>
              <w:t>4.3</w:t>
            </w:r>
            <w:r>
              <w:rPr>
                <w:rFonts w:asciiTheme="minorHAnsi" w:eastAsiaTheme="minorEastAsia" w:hAnsiTheme="minorHAnsi" w:cstheme="minorBidi"/>
                <w:noProof/>
                <w:sz w:val="22"/>
                <w:szCs w:val="22"/>
              </w:rPr>
              <w:tab/>
            </w:r>
            <w:r w:rsidRPr="00E755EF">
              <w:rPr>
                <w:rStyle w:val="Hipercze"/>
                <w:noProof/>
              </w:rPr>
              <w:t>Sygnalizacja świetlna, monitoring wizyjny, stacje wideopomiaru, wszystkie systemy sterowania i zarządzania ruchem</w:t>
            </w:r>
            <w:r>
              <w:rPr>
                <w:noProof/>
                <w:webHidden/>
              </w:rPr>
              <w:tab/>
            </w:r>
            <w:r>
              <w:rPr>
                <w:noProof/>
                <w:webHidden/>
              </w:rPr>
              <w:fldChar w:fldCharType="begin"/>
            </w:r>
            <w:r>
              <w:rPr>
                <w:noProof/>
                <w:webHidden/>
              </w:rPr>
              <w:instrText xml:space="preserve"> PAGEREF _Toc218669640 \h </w:instrText>
            </w:r>
            <w:r>
              <w:rPr>
                <w:noProof/>
                <w:webHidden/>
              </w:rPr>
            </w:r>
            <w:r>
              <w:rPr>
                <w:noProof/>
                <w:webHidden/>
              </w:rPr>
              <w:fldChar w:fldCharType="separate"/>
            </w:r>
            <w:r>
              <w:rPr>
                <w:noProof/>
                <w:webHidden/>
              </w:rPr>
              <w:t>18</w:t>
            </w:r>
            <w:r>
              <w:rPr>
                <w:noProof/>
                <w:webHidden/>
              </w:rPr>
              <w:fldChar w:fldCharType="end"/>
            </w:r>
          </w:hyperlink>
        </w:p>
        <w:p w14:paraId="2E4C5668" w14:textId="12AD50E0"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41" w:history="1">
            <w:r w:rsidRPr="00E755EF">
              <w:rPr>
                <w:rStyle w:val="Hipercze"/>
                <w:noProof/>
              </w:rPr>
              <w:t>4.4</w:t>
            </w:r>
            <w:r>
              <w:rPr>
                <w:rFonts w:asciiTheme="minorHAnsi" w:eastAsiaTheme="minorEastAsia" w:hAnsiTheme="minorHAnsi" w:cstheme="minorBidi"/>
                <w:noProof/>
                <w:sz w:val="22"/>
                <w:szCs w:val="22"/>
              </w:rPr>
              <w:tab/>
            </w:r>
            <w:r w:rsidRPr="00E755EF">
              <w:rPr>
                <w:rStyle w:val="Hipercze"/>
                <w:noProof/>
              </w:rPr>
              <w:t>Inne urządzenia bezpieczeństwa ruchu (BRD)</w:t>
            </w:r>
            <w:r>
              <w:rPr>
                <w:noProof/>
                <w:webHidden/>
              </w:rPr>
              <w:tab/>
            </w:r>
            <w:r>
              <w:rPr>
                <w:noProof/>
                <w:webHidden/>
              </w:rPr>
              <w:fldChar w:fldCharType="begin"/>
            </w:r>
            <w:r>
              <w:rPr>
                <w:noProof/>
                <w:webHidden/>
              </w:rPr>
              <w:instrText xml:space="preserve"> PAGEREF _Toc218669641 \h </w:instrText>
            </w:r>
            <w:r>
              <w:rPr>
                <w:noProof/>
                <w:webHidden/>
              </w:rPr>
            </w:r>
            <w:r>
              <w:rPr>
                <w:noProof/>
                <w:webHidden/>
              </w:rPr>
              <w:fldChar w:fldCharType="separate"/>
            </w:r>
            <w:r>
              <w:rPr>
                <w:noProof/>
                <w:webHidden/>
              </w:rPr>
              <w:t>20</w:t>
            </w:r>
            <w:r>
              <w:rPr>
                <w:noProof/>
                <w:webHidden/>
              </w:rPr>
              <w:fldChar w:fldCharType="end"/>
            </w:r>
          </w:hyperlink>
        </w:p>
        <w:p w14:paraId="419B91BF" w14:textId="6BB30574" w:rsidR="00F120FE" w:rsidRDefault="00F120FE">
          <w:pPr>
            <w:pStyle w:val="Spistreci3"/>
            <w:tabs>
              <w:tab w:val="left" w:pos="1100"/>
              <w:tab w:val="right" w:leader="dot" w:pos="9061"/>
            </w:tabs>
            <w:rPr>
              <w:rFonts w:asciiTheme="minorHAnsi" w:eastAsiaTheme="minorEastAsia" w:hAnsiTheme="minorHAnsi" w:cstheme="minorBidi"/>
              <w:noProof/>
              <w:sz w:val="22"/>
              <w:szCs w:val="22"/>
            </w:rPr>
          </w:pPr>
          <w:hyperlink w:anchor="_Toc218669642" w:history="1">
            <w:r w:rsidRPr="00E755EF">
              <w:rPr>
                <w:rStyle w:val="Hipercze"/>
                <w:noProof/>
              </w:rPr>
              <w:t>4.5</w:t>
            </w:r>
            <w:r>
              <w:rPr>
                <w:rFonts w:asciiTheme="minorHAnsi" w:eastAsiaTheme="minorEastAsia" w:hAnsiTheme="minorHAnsi" w:cstheme="minorBidi"/>
                <w:noProof/>
                <w:sz w:val="22"/>
                <w:szCs w:val="22"/>
              </w:rPr>
              <w:tab/>
            </w:r>
            <w:r w:rsidRPr="00E755EF">
              <w:rPr>
                <w:rStyle w:val="Hipercze"/>
                <w:noProof/>
              </w:rPr>
              <w:t>Kontrola elementów oznakowania poziomego i pionowego</w:t>
            </w:r>
            <w:r>
              <w:rPr>
                <w:noProof/>
                <w:webHidden/>
              </w:rPr>
              <w:tab/>
            </w:r>
            <w:r>
              <w:rPr>
                <w:noProof/>
                <w:webHidden/>
              </w:rPr>
              <w:fldChar w:fldCharType="begin"/>
            </w:r>
            <w:r>
              <w:rPr>
                <w:noProof/>
                <w:webHidden/>
              </w:rPr>
              <w:instrText xml:space="preserve"> PAGEREF _Toc218669642 \h </w:instrText>
            </w:r>
            <w:r>
              <w:rPr>
                <w:noProof/>
                <w:webHidden/>
              </w:rPr>
            </w:r>
            <w:r>
              <w:rPr>
                <w:noProof/>
                <w:webHidden/>
              </w:rPr>
              <w:fldChar w:fldCharType="separate"/>
            </w:r>
            <w:r>
              <w:rPr>
                <w:noProof/>
                <w:webHidden/>
              </w:rPr>
              <w:t>20</w:t>
            </w:r>
            <w:r>
              <w:rPr>
                <w:noProof/>
                <w:webHidden/>
              </w:rPr>
              <w:fldChar w:fldCharType="end"/>
            </w:r>
          </w:hyperlink>
        </w:p>
        <w:p w14:paraId="08332E8C" w14:textId="4FA887E1"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43" w:history="1">
            <w:r w:rsidRPr="00E755EF">
              <w:rPr>
                <w:rStyle w:val="Hipercze"/>
                <w:rFonts w:cs="Arial"/>
                <w:noProof/>
              </w:rPr>
              <w:t>5.</w:t>
            </w:r>
            <w:r>
              <w:rPr>
                <w:rFonts w:asciiTheme="minorHAnsi" w:eastAsiaTheme="minorEastAsia" w:hAnsiTheme="minorHAnsi" w:cstheme="minorBidi"/>
                <w:noProof/>
                <w:sz w:val="22"/>
                <w:szCs w:val="22"/>
              </w:rPr>
              <w:tab/>
            </w:r>
            <w:r w:rsidRPr="00E755EF">
              <w:rPr>
                <w:rStyle w:val="Hipercze"/>
                <w:rFonts w:cs="Arial"/>
                <w:noProof/>
              </w:rPr>
              <w:t>ZIELEŃ</w:t>
            </w:r>
            <w:r>
              <w:rPr>
                <w:noProof/>
                <w:webHidden/>
              </w:rPr>
              <w:tab/>
            </w:r>
            <w:r>
              <w:rPr>
                <w:noProof/>
                <w:webHidden/>
              </w:rPr>
              <w:fldChar w:fldCharType="begin"/>
            </w:r>
            <w:r>
              <w:rPr>
                <w:noProof/>
                <w:webHidden/>
              </w:rPr>
              <w:instrText xml:space="preserve"> PAGEREF _Toc218669643 \h </w:instrText>
            </w:r>
            <w:r>
              <w:rPr>
                <w:noProof/>
                <w:webHidden/>
              </w:rPr>
            </w:r>
            <w:r>
              <w:rPr>
                <w:noProof/>
                <w:webHidden/>
              </w:rPr>
              <w:fldChar w:fldCharType="separate"/>
            </w:r>
            <w:r>
              <w:rPr>
                <w:noProof/>
                <w:webHidden/>
              </w:rPr>
              <w:t>21</w:t>
            </w:r>
            <w:r>
              <w:rPr>
                <w:noProof/>
                <w:webHidden/>
              </w:rPr>
              <w:fldChar w:fldCharType="end"/>
            </w:r>
          </w:hyperlink>
        </w:p>
        <w:p w14:paraId="2E8D6263" w14:textId="4E8A772F"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44" w:history="1">
            <w:r w:rsidRPr="00E755EF">
              <w:rPr>
                <w:rStyle w:val="Hipercze"/>
                <w:rFonts w:cs="Arial"/>
                <w:noProof/>
              </w:rPr>
              <w:t>6.</w:t>
            </w:r>
            <w:r>
              <w:rPr>
                <w:rFonts w:asciiTheme="minorHAnsi" w:eastAsiaTheme="minorEastAsia" w:hAnsiTheme="minorHAnsi" w:cstheme="minorBidi"/>
                <w:noProof/>
                <w:sz w:val="22"/>
                <w:szCs w:val="22"/>
              </w:rPr>
              <w:tab/>
            </w:r>
            <w:r w:rsidRPr="00E755EF">
              <w:rPr>
                <w:rStyle w:val="Hipercze"/>
                <w:rFonts w:cs="Arial"/>
                <w:noProof/>
              </w:rPr>
              <w:t>PREFABRYKATY BETONOWE</w:t>
            </w:r>
            <w:r>
              <w:rPr>
                <w:noProof/>
                <w:webHidden/>
              </w:rPr>
              <w:tab/>
            </w:r>
            <w:r>
              <w:rPr>
                <w:noProof/>
                <w:webHidden/>
              </w:rPr>
              <w:fldChar w:fldCharType="begin"/>
            </w:r>
            <w:r>
              <w:rPr>
                <w:noProof/>
                <w:webHidden/>
              </w:rPr>
              <w:instrText xml:space="preserve"> PAGEREF _Toc218669644 \h </w:instrText>
            </w:r>
            <w:r>
              <w:rPr>
                <w:noProof/>
                <w:webHidden/>
              </w:rPr>
            </w:r>
            <w:r>
              <w:rPr>
                <w:noProof/>
                <w:webHidden/>
              </w:rPr>
              <w:fldChar w:fldCharType="separate"/>
            </w:r>
            <w:r>
              <w:rPr>
                <w:noProof/>
                <w:webHidden/>
              </w:rPr>
              <w:t>23</w:t>
            </w:r>
            <w:r>
              <w:rPr>
                <w:noProof/>
                <w:webHidden/>
              </w:rPr>
              <w:fldChar w:fldCharType="end"/>
            </w:r>
          </w:hyperlink>
        </w:p>
        <w:p w14:paraId="01044C48" w14:textId="671F7B7F"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45" w:history="1">
            <w:r w:rsidRPr="00E755EF">
              <w:rPr>
                <w:rStyle w:val="Hipercze"/>
                <w:rFonts w:cs="Arial"/>
                <w:noProof/>
              </w:rPr>
              <w:t>7.</w:t>
            </w:r>
            <w:r>
              <w:rPr>
                <w:rFonts w:asciiTheme="minorHAnsi" w:eastAsiaTheme="minorEastAsia" w:hAnsiTheme="minorHAnsi" w:cstheme="minorBidi"/>
                <w:noProof/>
                <w:sz w:val="22"/>
                <w:szCs w:val="22"/>
              </w:rPr>
              <w:tab/>
            </w:r>
            <w:r w:rsidRPr="00E755EF">
              <w:rPr>
                <w:rStyle w:val="Hipercze"/>
                <w:rFonts w:cs="Arial"/>
                <w:noProof/>
              </w:rPr>
              <w:t>DROGOWE OBIEKTY INŻYNIERSKIE</w:t>
            </w:r>
            <w:r>
              <w:rPr>
                <w:noProof/>
                <w:webHidden/>
              </w:rPr>
              <w:tab/>
            </w:r>
            <w:r>
              <w:rPr>
                <w:noProof/>
                <w:webHidden/>
              </w:rPr>
              <w:fldChar w:fldCharType="begin"/>
            </w:r>
            <w:r>
              <w:rPr>
                <w:noProof/>
                <w:webHidden/>
              </w:rPr>
              <w:instrText xml:space="preserve"> PAGEREF _Toc218669645 \h </w:instrText>
            </w:r>
            <w:r>
              <w:rPr>
                <w:noProof/>
                <w:webHidden/>
              </w:rPr>
            </w:r>
            <w:r>
              <w:rPr>
                <w:noProof/>
                <w:webHidden/>
              </w:rPr>
              <w:fldChar w:fldCharType="separate"/>
            </w:r>
            <w:r>
              <w:rPr>
                <w:noProof/>
                <w:webHidden/>
              </w:rPr>
              <w:t>24</w:t>
            </w:r>
            <w:r>
              <w:rPr>
                <w:noProof/>
                <w:webHidden/>
              </w:rPr>
              <w:fldChar w:fldCharType="end"/>
            </w:r>
          </w:hyperlink>
        </w:p>
        <w:p w14:paraId="1CEF113E" w14:textId="6FF429D9" w:rsidR="00F120FE" w:rsidRDefault="00F120FE">
          <w:pPr>
            <w:pStyle w:val="Spistreci2"/>
            <w:tabs>
              <w:tab w:val="left" w:pos="660"/>
              <w:tab w:val="right" w:leader="dot" w:pos="9061"/>
            </w:tabs>
            <w:rPr>
              <w:rFonts w:asciiTheme="minorHAnsi" w:eastAsiaTheme="minorEastAsia" w:hAnsiTheme="minorHAnsi" w:cstheme="minorBidi"/>
              <w:noProof/>
              <w:sz w:val="22"/>
              <w:szCs w:val="22"/>
            </w:rPr>
          </w:pPr>
          <w:hyperlink w:anchor="_Toc218669646" w:history="1">
            <w:r w:rsidRPr="00E755EF">
              <w:rPr>
                <w:rStyle w:val="Hipercze"/>
                <w:rFonts w:cs="Arial"/>
                <w:noProof/>
              </w:rPr>
              <w:t>8.</w:t>
            </w:r>
            <w:r>
              <w:rPr>
                <w:rFonts w:asciiTheme="minorHAnsi" w:eastAsiaTheme="minorEastAsia" w:hAnsiTheme="minorHAnsi" w:cstheme="minorBidi"/>
                <w:noProof/>
                <w:sz w:val="22"/>
                <w:szCs w:val="22"/>
              </w:rPr>
              <w:tab/>
            </w:r>
            <w:r w:rsidRPr="00E755EF">
              <w:rPr>
                <w:rStyle w:val="Hipercze"/>
                <w:rFonts w:cs="Arial"/>
                <w:noProof/>
              </w:rPr>
              <w:t>BRANŻE</w:t>
            </w:r>
            <w:r>
              <w:rPr>
                <w:noProof/>
                <w:webHidden/>
              </w:rPr>
              <w:tab/>
            </w:r>
            <w:r>
              <w:rPr>
                <w:noProof/>
                <w:webHidden/>
              </w:rPr>
              <w:fldChar w:fldCharType="begin"/>
            </w:r>
            <w:r>
              <w:rPr>
                <w:noProof/>
                <w:webHidden/>
              </w:rPr>
              <w:instrText xml:space="preserve"> PAGEREF _Toc218669646 \h </w:instrText>
            </w:r>
            <w:r>
              <w:rPr>
                <w:noProof/>
                <w:webHidden/>
              </w:rPr>
            </w:r>
            <w:r>
              <w:rPr>
                <w:noProof/>
                <w:webHidden/>
              </w:rPr>
              <w:fldChar w:fldCharType="separate"/>
            </w:r>
            <w:r>
              <w:rPr>
                <w:noProof/>
                <w:webHidden/>
              </w:rPr>
              <w:t>25</w:t>
            </w:r>
            <w:r>
              <w:rPr>
                <w:noProof/>
                <w:webHidden/>
              </w:rPr>
              <w:fldChar w:fldCharType="end"/>
            </w:r>
          </w:hyperlink>
        </w:p>
        <w:p w14:paraId="56B03CEF" w14:textId="49E7CFEE" w:rsidR="003006F5" w:rsidRPr="004E5BA8" w:rsidRDefault="004E5BA8" w:rsidP="003006F5">
          <w:r>
            <w:rPr>
              <w:b/>
              <w:bCs/>
            </w:rPr>
            <w:fldChar w:fldCharType="end"/>
          </w:r>
        </w:p>
      </w:sdtContent>
    </w:sdt>
    <w:p w14:paraId="421E8473" w14:textId="12A6E672" w:rsidR="003006F5" w:rsidRPr="00826C9D" w:rsidRDefault="003006F5" w:rsidP="004E5BA8">
      <w:pPr>
        <w:pStyle w:val="Nagwek1"/>
        <w:rPr>
          <w:rFonts w:cs="Arial"/>
          <w:szCs w:val="20"/>
        </w:rPr>
      </w:pPr>
      <w:bookmarkStart w:id="2" w:name="_Toc408483498"/>
      <w:bookmarkStart w:id="3" w:name="_Toc408483784"/>
      <w:bookmarkStart w:id="4" w:name="_Toc198211961"/>
      <w:bookmarkStart w:id="5" w:name="_Toc218669617"/>
      <w:r w:rsidRPr="00826C9D">
        <w:rPr>
          <w:rFonts w:cs="Arial"/>
          <w:szCs w:val="20"/>
        </w:rPr>
        <w:t>INFORMACJE WSTĘPNE</w:t>
      </w:r>
      <w:bookmarkEnd w:id="2"/>
      <w:bookmarkEnd w:id="3"/>
      <w:bookmarkEnd w:id="4"/>
      <w:bookmarkEnd w:id="5"/>
    </w:p>
    <w:p w14:paraId="27CC11A3" w14:textId="77777777" w:rsidR="00465AC4" w:rsidRPr="00826C9D" w:rsidRDefault="00465AC4" w:rsidP="003006F5">
      <w:pPr>
        <w:suppressAutoHyphens/>
        <w:ind w:right="-76"/>
        <w:rPr>
          <w:rFonts w:ascii="Arial" w:hAnsi="Arial"/>
        </w:rPr>
      </w:pPr>
    </w:p>
    <w:p w14:paraId="5ACD563B" w14:textId="421304D2" w:rsidR="003006F5" w:rsidRPr="00826C9D" w:rsidRDefault="003006F5" w:rsidP="00225FC6">
      <w:pPr>
        <w:suppressAutoHyphens/>
        <w:ind w:left="993" w:right="-76" w:hanging="993"/>
        <w:jc w:val="both"/>
        <w:rPr>
          <w:rFonts w:ascii="Arial" w:hAnsi="Arial"/>
          <w:b/>
        </w:rPr>
      </w:pPr>
      <w:r w:rsidRPr="00826C9D">
        <w:rPr>
          <w:rFonts w:ascii="Arial" w:hAnsi="Arial"/>
        </w:rPr>
        <w:t xml:space="preserve">Dotyczy: </w:t>
      </w:r>
      <w:r w:rsidR="00225FC6" w:rsidRPr="00826C9D">
        <w:rPr>
          <w:rFonts w:ascii="Arial" w:hAnsi="Arial"/>
        </w:rPr>
        <w:tab/>
      </w:r>
      <w:r w:rsidR="00D4132C" w:rsidRPr="00D57437">
        <w:rPr>
          <w:rFonts w:ascii="Arial" w:hAnsi="Arial"/>
          <w:b/>
        </w:rPr>
        <w:t xml:space="preserve">Rozbudowa Zielonogórskiego Systemu Sterowania Ruchem Drogowym wraz </w:t>
      </w:r>
      <w:r w:rsidR="00D4132C">
        <w:rPr>
          <w:rFonts w:ascii="Arial" w:hAnsi="Arial"/>
          <w:b/>
        </w:rPr>
        <w:br/>
      </w:r>
      <w:r w:rsidR="00D4132C" w:rsidRPr="00D57437">
        <w:rPr>
          <w:rFonts w:ascii="Arial" w:hAnsi="Arial"/>
          <w:b/>
        </w:rPr>
        <w:t>z przebudową niezbędnej infrastruktury</w:t>
      </w:r>
    </w:p>
    <w:p w14:paraId="1272023C" w14:textId="77777777" w:rsidR="003006F5" w:rsidRPr="00826C9D" w:rsidRDefault="003006F5" w:rsidP="003006F5">
      <w:pPr>
        <w:spacing w:before="120" w:after="120"/>
        <w:jc w:val="both"/>
        <w:rPr>
          <w:rFonts w:ascii="Arial" w:hAnsi="Arial"/>
        </w:rPr>
      </w:pPr>
    </w:p>
    <w:p w14:paraId="3ACC6162" w14:textId="77777777" w:rsidR="003006F5" w:rsidRPr="00826C9D" w:rsidRDefault="00465AC4" w:rsidP="003006F5">
      <w:pPr>
        <w:spacing w:before="120" w:after="120"/>
        <w:jc w:val="both"/>
        <w:rPr>
          <w:rFonts w:ascii="Arial" w:hAnsi="Arial"/>
        </w:rPr>
      </w:pPr>
      <w:r w:rsidRPr="00826C9D">
        <w:rPr>
          <w:rFonts w:ascii="Arial" w:hAnsi="Arial"/>
        </w:rPr>
        <w:t>Umowa</w:t>
      </w:r>
      <w:r w:rsidR="003006F5" w:rsidRPr="00826C9D">
        <w:rPr>
          <w:rFonts w:ascii="Arial" w:hAnsi="Arial"/>
        </w:rPr>
        <w:t xml:space="preserve"> nr: ……………………………….</w:t>
      </w:r>
    </w:p>
    <w:p w14:paraId="4DC0BF2C" w14:textId="77777777" w:rsidR="003006F5" w:rsidRPr="00826C9D" w:rsidRDefault="003006F5" w:rsidP="003006F5">
      <w:pPr>
        <w:spacing w:before="120" w:after="120"/>
        <w:jc w:val="both"/>
        <w:rPr>
          <w:rFonts w:ascii="Arial" w:hAnsi="Arial"/>
        </w:rPr>
      </w:pPr>
    </w:p>
    <w:p w14:paraId="7672DB44" w14:textId="77777777" w:rsidR="003006F5" w:rsidRPr="00826C9D" w:rsidRDefault="003006F5" w:rsidP="003006F5">
      <w:pPr>
        <w:spacing w:before="120" w:after="120"/>
        <w:jc w:val="both"/>
        <w:rPr>
          <w:rFonts w:ascii="Arial" w:hAnsi="Arial"/>
        </w:rPr>
      </w:pPr>
    </w:p>
    <w:p w14:paraId="2F52A934" w14:textId="77777777" w:rsidR="003006F5" w:rsidRPr="00826C9D" w:rsidRDefault="003006F5" w:rsidP="003006F5">
      <w:pPr>
        <w:spacing w:before="120" w:after="120"/>
        <w:jc w:val="both"/>
        <w:rPr>
          <w:rFonts w:ascii="Arial" w:hAnsi="Arial"/>
        </w:rPr>
      </w:pPr>
      <w:r w:rsidRPr="00826C9D">
        <w:rPr>
          <w:rFonts w:ascii="Arial" w:hAnsi="Arial"/>
        </w:rPr>
        <w:t xml:space="preserve">GWARANTEM jest: </w:t>
      </w:r>
    </w:p>
    <w:p w14:paraId="11320024" w14:textId="77777777" w:rsidR="003006F5" w:rsidRPr="00826C9D" w:rsidRDefault="003006F5" w:rsidP="003006F5">
      <w:pPr>
        <w:spacing w:before="120" w:after="120"/>
        <w:jc w:val="both"/>
        <w:rPr>
          <w:rFonts w:ascii="Arial" w:hAnsi="Arial"/>
        </w:rPr>
      </w:pPr>
      <w:r w:rsidRPr="00826C9D">
        <w:rPr>
          <w:rFonts w:ascii="Arial" w:hAnsi="Arial"/>
        </w:rPr>
        <w:t>[nazwa, adres, dane z KRS]</w:t>
      </w:r>
    </w:p>
    <w:p w14:paraId="463C2D29" w14:textId="77777777" w:rsidR="003006F5" w:rsidRPr="00826C9D" w:rsidRDefault="003006F5" w:rsidP="003006F5">
      <w:pPr>
        <w:spacing w:before="120" w:after="120"/>
        <w:jc w:val="both"/>
        <w:rPr>
          <w:rFonts w:ascii="Arial" w:hAnsi="Arial"/>
        </w:rPr>
      </w:pPr>
      <w:r w:rsidRPr="00826C9D">
        <w:rPr>
          <w:rFonts w:ascii="Arial" w:hAnsi="Arial"/>
        </w:rPr>
        <w:t>będący Wykonawcą Kontraktu</w:t>
      </w:r>
      <w:r w:rsidR="00465AC4" w:rsidRPr="00826C9D">
        <w:rPr>
          <w:rFonts w:ascii="Arial" w:hAnsi="Arial"/>
        </w:rPr>
        <w:t>,</w:t>
      </w:r>
      <w:r w:rsidRPr="00826C9D">
        <w:rPr>
          <w:rFonts w:ascii="Arial" w:hAnsi="Arial"/>
        </w:rPr>
        <w:t xml:space="preserve"> </w:t>
      </w:r>
    </w:p>
    <w:p w14:paraId="0D9D4DB2" w14:textId="77777777" w:rsidR="003006F5" w:rsidRPr="00826C9D" w:rsidRDefault="003006F5" w:rsidP="003006F5">
      <w:pPr>
        <w:spacing w:before="120" w:after="120"/>
        <w:jc w:val="both"/>
        <w:rPr>
          <w:rFonts w:ascii="Arial" w:hAnsi="Arial"/>
        </w:rPr>
      </w:pPr>
    </w:p>
    <w:p w14:paraId="66BA6A4C" w14:textId="77777777" w:rsidR="003006F5" w:rsidRPr="00826C9D" w:rsidRDefault="003006F5" w:rsidP="003006F5">
      <w:pPr>
        <w:spacing w:before="120" w:after="120"/>
        <w:jc w:val="both"/>
        <w:rPr>
          <w:rFonts w:ascii="Arial" w:hAnsi="Arial"/>
        </w:rPr>
      </w:pPr>
      <w:r w:rsidRPr="00826C9D">
        <w:rPr>
          <w:rFonts w:ascii="Arial" w:hAnsi="Arial"/>
        </w:rPr>
        <w:t>Uprawnionym z tytułu Gwarancji Jakości jest:</w:t>
      </w:r>
    </w:p>
    <w:p w14:paraId="188CCE23" w14:textId="5B400D4E" w:rsidR="003006F5" w:rsidRPr="00826C9D" w:rsidRDefault="00D4132C" w:rsidP="003006F5">
      <w:pPr>
        <w:spacing w:before="120" w:after="120"/>
        <w:jc w:val="both"/>
        <w:rPr>
          <w:rFonts w:ascii="Arial" w:hAnsi="Arial"/>
        </w:rPr>
      </w:pPr>
      <w:r>
        <w:rPr>
          <w:rFonts w:ascii="Arial" w:hAnsi="Arial"/>
        </w:rPr>
        <w:t>Miasto Zielona Góra</w:t>
      </w:r>
    </w:p>
    <w:p w14:paraId="6CCCD719" w14:textId="2DCA41DC" w:rsidR="003006F5" w:rsidRPr="00826C9D" w:rsidRDefault="003006F5" w:rsidP="003006F5">
      <w:pPr>
        <w:spacing w:before="120" w:after="120"/>
        <w:jc w:val="both"/>
        <w:rPr>
          <w:rFonts w:ascii="Arial" w:hAnsi="Arial"/>
        </w:rPr>
      </w:pPr>
      <w:r w:rsidRPr="00826C9D">
        <w:rPr>
          <w:rFonts w:ascii="Arial" w:hAnsi="Arial"/>
        </w:rPr>
        <w:t>ul. Podgórna 22, 65-</w:t>
      </w:r>
      <w:r w:rsidR="00574A68" w:rsidRPr="00826C9D">
        <w:rPr>
          <w:rFonts w:ascii="Arial" w:hAnsi="Arial"/>
        </w:rPr>
        <w:t>213</w:t>
      </w:r>
      <w:r w:rsidRPr="00826C9D">
        <w:rPr>
          <w:rFonts w:ascii="Arial" w:hAnsi="Arial"/>
        </w:rPr>
        <w:t xml:space="preserve"> Zielona Góra</w:t>
      </w:r>
    </w:p>
    <w:p w14:paraId="0964D7BE" w14:textId="77777777" w:rsidR="003006F5" w:rsidRPr="00826C9D" w:rsidRDefault="003006F5" w:rsidP="003006F5">
      <w:pPr>
        <w:spacing w:before="120" w:after="120"/>
        <w:jc w:val="both"/>
        <w:rPr>
          <w:rFonts w:ascii="Arial" w:hAnsi="Arial"/>
        </w:rPr>
      </w:pPr>
      <w:r w:rsidRPr="00826C9D">
        <w:rPr>
          <w:rFonts w:ascii="Arial" w:hAnsi="Arial"/>
        </w:rPr>
        <w:t>zwany dalej „Zamawiającym”,</w:t>
      </w:r>
    </w:p>
    <w:p w14:paraId="7CB538A9" w14:textId="77777777" w:rsidR="003006F5" w:rsidRPr="00826C9D" w:rsidRDefault="003006F5" w:rsidP="003006F5">
      <w:pPr>
        <w:spacing w:before="120" w:after="120"/>
        <w:jc w:val="both"/>
        <w:rPr>
          <w:rFonts w:ascii="Arial" w:hAnsi="Arial"/>
        </w:rPr>
      </w:pPr>
    </w:p>
    <w:p w14:paraId="4F4BA4C7" w14:textId="77777777" w:rsidR="003006F5" w:rsidRPr="00826C9D" w:rsidRDefault="003006F5" w:rsidP="003006F5">
      <w:pPr>
        <w:spacing w:before="120" w:after="120"/>
        <w:jc w:val="both"/>
        <w:rPr>
          <w:rFonts w:ascii="Arial" w:hAnsi="Arial"/>
        </w:rPr>
      </w:pPr>
      <w:r w:rsidRPr="00826C9D">
        <w:rPr>
          <w:rFonts w:ascii="Arial" w:hAnsi="Arial"/>
        </w:rPr>
        <w:t>zwan</w:t>
      </w:r>
      <w:r w:rsidR="00465AC4" w:rsidRPr="00826C9D">
        <w:rPr>
          <w:rFonts w:ascii="Arial" w:hAnsi="Arial"/>
        </w:rPr>
        <w:t>i łącznie</w:t>
      </w:r>
      <w:r w:rsidRPr="00826C9D">
        <w:rPr>
          <w:rFonts w:ascii="Arial" w:hAnsi="Arial"/>
        </w:rPr>
        <w:t xml:space="preserve"> dalej „Stronami”.</w:t>
      </w:r>
    </w:p>
    <w:p w14:paraId="23FD4A06" w14:textId="77777777" w:rsidR="003006F5" w:rsidRPr="00826C9D" w:rsidRDefault="003006F5" w:rsidP="003006F5">
      <w:pPr>
        <w:spacing w:before="120" w:after="120"/>
        <w:jc w:val="both"/>
        <w:rPr>
          <w:rFonts w:ascii="Arial" w:hAnsi="Arial"/>
        </w:rPr>
      </w:pPr>
    </w:p>
    <w:p w14:paraId="470D98F4" w14:textId="77777777" w:rsidR="003006F5" w:rsidRPr="00826C9D" w:rsidRDefault="003006F5" w:rsidP="003006F5">
      <w:pPr>
        <w:spacing w:before="120" w:after="120"/>
        <w:jc w:val="both"/>
        <w:rPr>
          <w:rFonts w:ascii="Arial" w:hAnsi="Arial"/>
        </w:rPr>
      </w:pPr>
    </w:p>
    <w:p w14:paraId="6FB19B22" w14:textId="77777777" w:rsidR="003006F5" w:rsidRPr="00826C9D" w:rsidRDefault="003006F5" w:rsidP="003006F5">
      <w:pPr>
        <w:spacing w:before="120" w:after="120"/>
        <w:jc w:val="both"/>
        <w:rPr>
          <w:rFonts w:ascii="Arial" w:hAnsi="Arial"/>
        </w:rPr>
      </w:pPr>
    </w:p>
    <w:p w14:paraId="0B996708" w14:textId="77777777" w:rsidR="003006F5" w:rsidRPr="00826C9D" w:rsidRDefault="003006F5" w:rsidP="003006F5">
      <w:pPr>
        <w:spacing w:before="120" w:after="120"/>
        <w:jc w:val="both"/>
        <w:rPr>
          <w:rFonts w:ascii="Arial" w:hAnsi="Arial"/>
        </w:rPr>
      </w:pPr>
    </w:p>
    <w:p w14:paraId="1712652A" w14:textId="77777777" w:rsidR="003006F5" w:rsidRPr="00826C9D" w:rsidRDefault="003006F5" w:rsidP="003006F5">
      <w:pPr>
        <w:spacing w:before="120" w:after="120"/>
        <w:jc w:val="both"/>
        <w:rPr>
          <w:rFonts w:ascii="Arial" w:hAnsi="Arial"/>
        </w:rPr>
      </w:pPr>
    </w:p>
    <w:p w14:paraId="37BFCC22" w14:textId="77777777" w:rsidR="003006F5" w:rsidRPr="00826C9D" w:rsidRDefault="003006F5" w:rsidP="00C0119D">
      <w:pPr>
        <w:pStyle w:val="Nagwek1"/>
        <w:numPr>
          <w:ilvl w:val="0"/>
          <w:numId w:val="22"/>
        </w:numPr>
        <w:ind w:left="426" w:hanging="426"/>
        <w:rPr>
          <w:rFonts w:cs="Arial"/>
          <w:szCs w:val="20"/>
        </w:rPr>
      </w:pPr>
      <w:r w:rsidRPr="00826C9D">
        <w:rPr>
          <w:rFonts w:cs="Arial"/>
          <w:szCs w:val="20"/>
        </w:rPr>
        <w:br w:type="page"/>
      </w:r>
      <w:bookmarkStart w:id="6" w:name="_Toc408483499"/>
      <w:bookmarkStart w:id="7" w:name="_Toc408483785"/>
      <w:bookmarkStart w:id="8" w:name="_Toc198211962"/>
      <w:bookmarkStart w:id="9" w:name="_Toc218669618"/>
      <w:r w:rsidRPr="00826C9D">
        <w:rPr>
          <w:rFonts w:cs="Arial"/>
          <w:szCs w:val="20"/>
        </w:rPr>
        <w:lastRenderedPageBreak/>
        <w:t>CZĘŚĆ OGÓLNA</w:t>
      </w:r>
      <w:bookmarkEnd w:id="6"/>
      <w:bookmarkEnd w:id="7"/>
      <w:bookmarkEnd w:id="8"/>
      <w:bookmarkEnd w:id="9"/>
    </w:p>
    <w:p w14:paraId="5406FFF4" w14:textId="77777777" w:rsidR="003006F5" w:rsidRPr="00826C9D" w:rsidRDefault="003006F5" w:rsidP="00F64263">
      <w:pPr>
        <w:pStyle w:val="Nagwek2"/>
        <w:numPr>
          <w:ilvl w:val="0"/>
          <w:numId w:val="1"/>
        </w:numPr>
        <w:ind w:left="426" w:hanging="426"/>
        <w:rPr>
          <w:rFonts w:cs="Arial"/>
          <w:smallCaps/>
          <w:szCs w:val="20"/>
        </w:rPr>
      </w:pPr>
      <w:bookmarkStart w:id="10" w:name="_Toc408483786"/>
      <w:bookmarkStart w:id="11" w:name="_Toc198211963"/>
      <w:bookmarkStart w:id="12" w:name="_Toc218669619"/>
      <w:r w:rsidRPr="00826C9D">
        <w:rPr>
          <w:rFonts w:cs="Arial"/>
          <w:smallCaps/>
          <w:szCs w:val="20"/>
        </w:rPr>
        <w:t>Przedmiot i Okres Gwarancji Jakości</w:t>
      </w:r>
      <w:bookmarkEnd w:id="10"/>
      <w:bookmarkEnd w:id="11"/>
      <w:bookmarkEnd w:id="12"/>
    </w:p>
    <w:p w14:paraId="2B96180C" w14:textId="1C243219" w:rsidR="003006F5" w:rsidRPr="00826C9D" w:rsidRDefault="003006F5" w:rsidP="00F64263">
      <w:pPr>
        <w:pStyle w:val="Akapitzlist1"/>
        <w:numPr>
          <w:ilvl w:val="1"/>
          <w:numId w:val="1"/>
        </w:numPr>
        <w:spacing w:before="120" w:after="120"/>
        <w:ind w:left="567" w:hanging="567"/>
        <w:contextualSpacing w:val="0"/>
        <w:jc w:val="both"/>
        <w:rPr>
          <w:rFonts w:ascii="Arial" w:hAnsi="Arial"/>
          <w:b/>
        </w:rPr>
      </w:pPr>
      <w:r w:rsidRPr="00826C9D">
        <w:rPr>
          <w:rFonts w:ascii="Arial" w:hAnsi="Arial"/>
        </w:rPr>
        <w:t xml:space="preserve">Niniejsza Gwarancja Jakości (dalej zwana również „Gwarancją”) obejmuje całość Robót </w:t>
      </w:r>
      <w:r w:rsidR="00465AC4" w:rsidRPr="00826C9D">
        <w:rPr>
          <w:rFonts w:ascii="Arial" w:hAnsi="Arial"/>
        </w:rPr>
        <w:br/>
      </w:r>
      <w:r w:rsidRPr="00826C9D">
        <w:rPr>
          <w:rFonts w:ascii="Arial" w:hAnsi="Arial"/>
        </w:rPr>
        <w:t xml:space="preserve">i Dokumentów Wykonawcy objętych przedmiotem zamówienia (dalej Przedmiotem Umowy) </w:t>
      </w:r>
      <w:r w:rsidR="00D4132C">
        <w:rPr>
          <w:rFonts w:ascii="Arial" w:hAnsi="Arial"/>
        </w:rPr>
        <w:br/>
      </w:r>
      <w:r w:rsidRPr="00826C9D">
        <w:rPr>
          <w:rFonts w:ascii="Arial" w:hAnsi="Arial"/>
        </w:rPr>
        <w:t>p</w:t>
      </w:r>
      <w:r w:rsidR="00465AC4" w:rsidRPr="00826C9D">
        <w:rPr>
          <w:rFonts w:ascii="Arial" w:hAnsi="Arial"/>
        </w:rPr>
        <w:t>n</w:t>
      </w:r>
      <w:r w:rsidRPr="00826C9D">
        <w:rPr>
          <w:rFonts w:ascii="Arial" w:hAnsi="Arial"/>
        </w:rPr>
        <w:t>. „</w:t>
      </w:r>
      <w:r w:rsidR="00D4132C" w:rsidRPr="00D57437">
        <w:rPr>
          <w:rFonts w:ascii="Arial" w:hAnsi="Arial"/>
          <w:b/>
        </w:rPr>
        <w:t xml:space="preserve">Rozbudowa Zielonogórskiego Systemu Sterowania Ruchem Drogowym wraz </w:t>
      </w:r>
      <w:r w:rsidR="00D4132C">
        <w:rPr>
          <w:rFonts w:ascii="Arial" w:hAnsi="Arial"/>
          <w:b/>
        </w:rPr>
        <w:br/>
      </w:r>
      <w:r w:rsidR="00D4132C" w:rsidRPr="00D57437">
        <w:rPr>
          <w:rFonts w:ascii="Arial" w:hAnsi="Arial"/>
          <w:b/>
        </w:rPr>
        <w:t>z przebudową niezbędnej infrastruktury</w:t>
      </w:r>
      <w:r w:rsidRPr="00826C9D">
        <w:rPr>
          <w:rFonts w:ascii="Arial" w:hAnsi="Arial"/>
        </w:rPr>
        <w:t>” określonych w Umowie oraz w innych dokumentach będących integralną częścią Umowy.</w:t>
      </w:r>
    </w:p>
    <w:p w14:paraId="3825471F"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Gwarant oświadcza i zapewnia Zamawiającego, że wykonany przez niego cały Przedmiot Umowy, o którym mowa w punkcie 1.1. niniejszej Części Ogólnej został wykonany prawidłowo, zgodnie z zobowiązaniami Wykonawcy, o których mowa w Warunkach Kontraktu, a także zgodnie z najlepszą wiedzą Gwaranta.</w:t>
      </w:r>
    </w:p>
    <w:p w14:paraId="09264409"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Poprzez niniejszą Gwarancję, Gwarant przyjmuje na siebie odpowiedzialność za Przedmiot Umowy, w tym za Dokumenty Wykonawcy i odpowiedni zakres Przedmiotu Umowy zrealizowany przez podwykonawców. Gwarant jest odpowiedzialny wobec Zamawiającego za realizację wszystkich zobowiązań, o których mowa w punkcie 2 niniejszej Części Ogólnej.</w:t>
      </w:r>
    </w:p>
    <w:p w14:paraId="1C0CC398"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Okres Gwarancji Jakości wynosi: </w:t>
      </w:r>
    </w:p>
    <w:p w14:paraId="30B86C25" w14:textId="78B0E2E4" w:rsidR="003006F5" w:rsidRPr="00826C9D" w:rsidRDefault="003006F5" w:rsidP="00F64263">
      <w:pPr>
        <w:pStyle w:val="Akapitzlist1"/>
        <w:numPr>
          <w:ilvl w:val="0"/>
          <w:numId w:val="2"/>
        </w:numPr>
        <w:spacing w:before="120" w:after="120"/>
        <w:ind w:left="851" w:hanging="284"/>
        <w:contextualSpacing w:val="0"/>
        <w:jc w:val="both"/>
        <w:rPr>
          <w:rFonts w:ascii="Arial" w:hAnsi="Arial"/>
        </w:rPr>
      </w:pPr>
      <w:r w:rsidRPr="00826C9D">
        <w:rPr>
          <w:rFonts w:ascii="Arial" w:hAnsi="Arial"/>
        </w:rPr>
        <w:t>zgodnie z opisem Zamawiającego - dla elementów wymienionych w Części Szczegółowej (II. Część Szczegółowa) niniejszej Gwarancji;</w:t>
      </w:r>
    </w:p>
    <w:p w14:paraId="2E199DAF" w14:textId="2CE216BE" w:rsidR="003006F5" w:rsidRPr="00826C9D" w:rsidRDefault="003006F5" w:rsidP="00F64263">
      <w:pPr>
        <w:pStyle w:val="Akapitzlist1"/>
        <w:numPr>
          <w:ilvl w:val="0"/>
          <w:numId w:val="2"/>
        </w:numPr>
        <w:spacing w:before="120" w:after="120"/>
        <w:ind w:left="851" w:hanging="284"/>
        <w:contextualSpacing w:val="0"/>
        <w:jc w:val="both"/>
        <w:rPr>
          <w:rFonts w:ascii="Arial" w:hAnsi="Arial"/>
        </w:rPr>
      </w:pPr>
      <w:r w:rsidRPr="00826C9D">
        <w:rPr>
          <w:rFonts w:ascii="Arial" w:hAnsi="Arial"/>
        </w:rPr>
        <w:t xml:space="preserve">zgodnie z Ofertą Wykonawcy - dla pozostałych elementów wymienionych </w:t>
      </w:r>
      <w:r w:rsidRPr="00826C9D">
        <w:rPr>
          <w:rFonts w:ascii="Arial" w:hAnsi="Arial"/>
        </w:rPr>
        <w:br/>
        <w:t>w Części S</w:t>
      </w:r>
      <w:r w:rsidR="005A2D97">
        <w:rPr>
          <w:rFonts w:ascii="Arial" w:hAnsi="Arial"/>
        </w:rPr>
        <w:t>zczegółowej Gwarancji Jakości (</w:t>
      </w:r>
      <w:r w:rsidRPr="00826C9D">
        <w:rPr>
          <w:rFonts w:ascii="Arial" w:hAnsi="Arial"/>
        </w:rPr>
        <w:t xml:space="preserve">II. Część Szczegółowa), a także elementów niewymienionych w Części Szczegółowej Gwarancji Jakości (II. Część Szczegółowa) – </w:t>
      </w:r>
      <w:r w:rsidR="00D4132C">
        <w:rPr>
          <w:rFonts w:ascii="Arial" w:hAnsi="Arial"/>
        </w:rPr>
        <w:br/>
      </w:r>
      <w:r w:rsidRPr="005A2D97">
        <w:rPr>
          <w:rFonts w:ascii="Arial" w:hAnsi="Arial"/>
          <w:b/>
        </w:rPr>
        <w:t>[</w:t>
      </w:r>
      <w:r w:rsidR="00D36488">
        <w:rPr>
          <w:rFonts w:ascii="Arial" w:hAnsi="Arial"/>
          <w:b/>
          <w:i/>
        </w:rPr>
        <w:t>od 60 do 72</w:t>
      </w:r>
      <w:r w:rsidRPr="005A2D97">
        <w:rPr>
          <w:rFonts w:ascii="Arial" w:hAnsi="Arial"/>
          <w:b/>
        </w:rPr>
        <w:t>] miesięcy</w:t>
      </w:r>
      <w:r w:rsidRPr="00826C9D">
        <w:rPr>
          <w:rFonts w:ascii="Arial" w:hAnsi="Arial"/>
        </w:rPr>
        <w:t>,</w:t>
      </w:r>
    </w:p>
    <w:p w14:paraId="27C31F0A" w14:textId="77777777" w:rsidR="003006F5" w:rsidRPr="00826C9D" w:rsidRDefault="003006F5" w:rsidP="00F64263">
      <w:pPr>
        <w:pStyle w:val="Akapitzlist1"/>
        <w:spacing w:before="120" w:after="120"/>
        <w:ind w:left="993" w:hanging="142"/>
        <w:contextualSpacing w:val="0"/>
        <w:jc w:val="both"/>
        <w:rPr>
          <w:rFonts w:ascii="Arial" w:hAnsi="Arial"/>
        </w:rPr>
      </w:pPr>
      <w:r w:rsidRPr="00826C9D">
        <w:rPr>
          <w:rFonts w:ascii="Arial" w:hAnsi="Arial"/>
        </w:rPr>
        <w:t xml:space="preserve">- liczone od daty wskazanej w Świadectwie Przejęcia, a w przypadku wystawienia Świadectwa Przejęcia z zastrzeżeniem, że istnieją roboty zaległe do wykonania </w:t>
      </w:r>
      <w:r w:rsidR="00465AC4" w:rsidRPr="00826C9D">
        <w:rPr>
          <w:rFonts w:ascii="Arial" w:hAnsi="Arial"/>
        </w:rPr>
        <w:br/>
      </w:r>
      <w:r w:rsidRPr="00826C9D">
        <w:rPr>
          <w:rFonts w:ascii="Arial" w:hAnsi="Arial"/>
        </w:rPr>
        <w:t>w zakresie objętym Gwarancją Jakości, od daty wskazanej w protokole z przeglądu realizacji robót zaległych, potwierdzającym wykonanie roboty zaległej.</w:t>
      </w:r>
    </w:p>
    <w:p w14:paraId="038A7BA8"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Przed wydaniem Świadectwa Wykonania, przedstawiciele Gwaranta, Konsultanta </w:t>
      </w:r>
      <w:r w:rsidR="00465AC4" w:rsidRPr="00826C9D">
        <w:rPr>
          <w:rFonts w:ascii="Arial" w:hAnsi="Arial"/>
        </w:rPr>
        <w:br/>
      </w:r>
      <w:r w:rsidRPr="00826C9D">
        <w:rPr>
          <w:rFonts w:ascii="Arial" w:hAnsi="Arial"/>
        </w:rPr>
        <w:t xml:space="preserve">i Zamawiającego zgodnie z Subklauzulą 3.5 Warunków Kontraktu, ustalą wpływ stwierdzonych odstępstw od postanowień Specyfikacji Technicznych Wykonania </w:t>
      </w:r>
      <w:r w:rsidR="00F64263" w:rsidRPr="00826C9D">
        <w:rPr>
          <w:rFonts w:ascii="Arial" w:hAnsi="Arial"/>
        </w:rPr>
        <w:br/>
      </w:r>
      <w:r w:rsidRPr="00826C9D">
        <w:rPr>
          <w:rFonts w:ascii="Arial" w:hAnsi="Arial"/>
        </w:rPr>
        <w:t>i Odbioru Robót Budowlanych na zobowiązania Gwaranta.</w:t>
      </w:r>
    </w:p>
    <w:p w14:paraId="72B69845"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Ilekroć w niniejszej Gwarancji Jakości jest mowa o Wadzie należy przez to rozumieć wadę zdefiniowaną w Subklauzuli 1.1.3.7. (c) Warunków Kontraktu.</w:t>
      </w:r>
    </w:p>
    <w:p w14:paraId="61FC90C4" w14:textId="77777777" w:rsidR="003006F5" w:rsidRPr="00826C9D" w:rsidRDefault="003006F5" w:rsidP="00F64263">
      <w:pPr>
        <w:pStyle w:val="Nagwek2"/>
        <w:numPr>
          <w:ilvl w:val="0"/>
          <w:numId w:val="1"/>
        </w:numPr>
        <w:ind w:left="426" w:hanging="426"/>
        <w:rPr>
          <w:rFonts w:cs="Arial"/>
          <w:smallCaps/>
          <w:szCs w:val="20"/>
        </w:rPr>
      </w:pPr>
      <w:bookmarkStart w:id="13" w:name="_Toc408483787"/>
      <w:bookmarkStart w:id="14" w:name="_Toc198211964"/>
      <w:bookmarkStart w:id="15" w:name="_Toc218669620"/>
      <w:r w:rsidRPr="00826C9D">
        <w:rPr>
          <w:rFonts w:cs="Arial"/>
          <w:smallCaps/>
          <w:szCs w:val="20"/>
        </w:rPr>
        <w:t>Obowiązki i uprawnienia Stron</w:t>
      </w:r>
      <w:bookmarkEnd w:id="13"/>
      <w:bookmarkEnd w:id="14"/>
      <w:bookmarkEnd w:id="15"/>
    </w:p>
    <w:p w14:paraId="314A993A"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 przypadku ujawnienia jakiejkolwiek Wady w Przedmiocie Umowy Gwarant jest zobowiązany do:</w:t>
      </w:r>
    </w:p>
    <w:p w14:paraId="15E520BD" w14:textId="77777777" w:rsidR="003006F5" w:rsidRPr="00826C9D" w:rsidRDefault="003006F5" w:rsidP="00F64263">
      <w:pPr>
        <w:pStyle w:val="Akapitzlist1"/>
        <w:numPr>
          <w:ilvl w:val="0"/>
          <w:numId w:val="3"/>
        </w:numPr>
        <w:spacing w:before="120" w:after="120"/>
        <w:ind w:left="851" w:hanging="283"/>
        <w:contextualSpacing w:val="0"/>
        <w:jc w:val="both"/>
        <w:rPr>
          <w:rFonts w:ascii="Arial" w:hAnsi="Arial"/>
        </w:rPr>
      </w:pPr>
      <w:r w:rsidRPr="00826C9D">
        <w:rPr>
          <w:rFonts w:ascii="Arial" w:hAnsi="Arial"/>
        </w:rPr>
        <w:t>terminowego spełnienie żądania Zamawiającego dotyczącego nieodpłatnego usunięcia Wady, przy czym usunięcie Wady może nastąpić również poprzez wymianę rzeczy wchodzącej w zakres Przedmiotu umowy na nową, wolną od Wad;</w:t>
      </w:r>
    </w:p>
    <w:p w14:paraId="12259DE6" w14:textId="77777777" w:rsidR="003006F5" w:rsidRPr="00826C9D" w:rsidRDefault="003006F5" w:rsidP="00F64263">
      <w:pPr>
        <w:pStyle w:val="Akapitzlist1"/>
        <w:numPr>
          <w:ilvl w:val="0"/>
          <w:numId w:val="3"/>
        </w:numPr>
        <w:spacing w:before="120" w:after="120"/>
        <w:ind w:left="851" w:hanging="284"/>
        <w:contextualSpacing w:val="0"/>
        <w:jc w:val="both"/>
        <w:rPr>
          <w:rFonts w:ascii="Arial" w:hAnsi="Arial"/>
        </w:rPr>
      </w:pPr>
      <w:r w:rsidRPr="00826C9D">
        <w:rPr>
          <w:rFonts w:ascii="Arial" w:hAnsi="Arial"/>
        </w:rPr>
        <w:t>terminowego spełnienia żądania Zamawiającego dotyczącego nieodpłatnej wymiany rzeczy na wolną od Wad;</w:t>
      </w:r>
    </w:p>
    <w:p w14:paraId="48272C9D"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Ilekroć w postanowieniach jest mowa o „usunięciu Wady” należy przez to rozumieć również wymianę rzeczy wchodzącej w zakres Przedmiotu Umowy na nową, wolną od Wad. </w:t>
      </w:r>
    </w:p>
    <w:p w14:paraId="21E75562"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lastRenderedPageBreak/>
        <w:t>W przypadku ujawnienia jakiejkolwiek Wady w Przedmiocie Umowy, Zamawiający jest uprawniony do:</w:t>
      </w:r>
    </w:p>
    <w:p w14:paraId="42C35BFB" w14:textId="77777777" w:rsidR="003006F5" w:rsidRPr="00826C9D" w:rsidRDefault="003006F5" w:rsidP="00F64263">
      <w:pPr>
        <w:pStyle w:val="Akapitzlist1"/>
        <w:numPr>
          <w:ilvl w:val="0"/>
          <w:numId w:val="4"/>
        </w:numPr>
        <w:spacing w:before="120" w:after="120"/>
        <w:ind w:left="851" w:hanging="283"/>
        <w:contextualSpacing w:val="0"/>
        <w:jc w:val="both"/>
        <w:rPr>
          <w:rFonts w:ascii="Arial" w:hAnsi="Arial"/>
        </w:rPr>
      </w:pPr>
      <w:r w:rsidRPr="00826C9D">
        <w:rPr>
          <w:rFonts w:ascii="Arial" w:hAnsi="Arial"/>
        </w:rPr>
        <w:t xml:space="preserve">żądania nieodpłatnego usunięcia Wady, a w przypadku, gdy dana rzecz wchodząca </w:t>
      </w:r>
      <w:r w:rsidR="00465AC4" w:rsidRPr="00826C9D">
        <w:rPr>
          <w:rFonts w:ascii="Arial" w:hAnsi="Arial"/>
        </w:rPr>
        <w:br/>
      </w:r>
      <w:r w:rsidRPr="00826C9D">
        <w:rPr>
          <w:rFonts w:ascii="Arial" w:hAnsi="Arial"/>
        </w:rPr>
        <w:t>w zakres Przedmiotu Umowy była już dwukrotnie naprawiana – do żądania wymiany tej rzeczy na nową, wolną od Wad;</w:t>
      </w:r>
    </w:p>
    <w:p w14:paraId="5BAC7BAE" w14:textId="77777777" w:rsidR="003006F5" w:rsidRPr="00826C9D" w:rsidRDefault="003006F5" w:rsidP="00F64263">
      <w:pPr>
        <w:pStyle w:val="Akapitzlist1"/>
        <w:numPr>
          <w:ilvl w:val="0"/>
          <w:numId w:val="4"/>
        </w:numPr>
        <w:spacing w:before="120" w:after="120"/>
        <w:ind w:left="851" w:hanging="283"/>
        <w:contextualSpacing w:val="0"/>
        <w:jc w:val="both"/>
        <w:rPr>
          <w:rFonts w:ascii="Arial" w:hAnsi="Arial"/>
        </w:rPr>
      </w:pPr>
      <w:r w:rsidRPr="00826C9D">
        <w:rPr>
          <w:rFonts w:ascii="Arial" w:hAnsi="Arial"/>
        </w:rPr>
        <w:t>wskazania trybu usunięcia Wady lub wymiany rzeczy na wolną od Wad.</w:t>
      </w:r>
    </w:p>
    <w:p w14:paraId="0311B7B4" w14:textId="77777777" w:rsidR="003006F5" w:rsidRPr="00826C9D" w:rsidRDefault="003006F5" w:rsidP="00F64263">
      <w:pPr>
        <w:pStyle w:val="Nagwek2"/>
        <w:numPr>
          <w:ilvl w:val="0"/>
          <w:numId w:val="1"/>
        </w:numPr>
        <w:ind w:left="426" w:hanging="426"/>
        <w:rPr>
          <w:rFonts w:cs="Arial"/>
          <w:smallCaps/>
          <w:szCs w:val="20"/>
        </w:rPr>
      </w:pPr>
      <w:bookmarkStart w:id="16" w:name="_Toc408483788"/>
      <w:bookmarkStart w:id="17" w:name="_Toc198211965"/>
      <w:bookmarkStart w:id="18" w:name="_Toc218669621"/>
      <w:r w:rsidRPr="00826C9D">
        <w:rPr>
          <w:rFonts w:cs="Arial"/>
          <w:smallCaps/>
          <w:szCs w:val="20"/>
        </w:rPr>
        <w:t>Upoważnienie Gwaranta (pełnomocnictwo)</w:t>
      </w:r>
      <w:bookmarkEnd w:id="16"/>
      <w:bookmarkEnd w:id="17"/>
      <w:bookmarkEnd w:id="18"/>
    </w:p>
    <w:p w14:paraId="59C120AC" w14:textId="77777777" w:rsidR="003006F5" w:rsidRPr="00826C9D" w:rsidRDefault="003006F5" w:rsidP="00F64263">
      <w:pPr>
        <w:spacing w:before="120" w:after="120"/>
        <w:ind w:left="426"/>
        <w:jc w:val="both"/>
        <w:rPr>
          <w:rFonts w:ascii="Arial" w:hAnsi="Arial"/>
        </w:rPr>
      </w:pPr>
      <w:r w:rsidRPr="00826C9D">
        <w:rPr>
          <w:rFonts w:ascii="Arial" w:hAnsi="Arial"/>
        </w:rPr>
        <w:t>Niezależenie od udzielonej gwarancji, Gwarant upoważni Zamawiającego do wykonywania uprawnień z gwarancji przysługującej Gwarantowi wobec podmiotów, wobec których Gwarantowi przysługują takie uprawnienia, tj. w szczególności wobec Producentów Urządzeń, Podwykonawców, Dostawców, Usługodawców.</w:t>
      </w:r>
    </w:p>
    <w:p w14:paraId="610F4DBC" w14:textId="77777777" w:rsidR="003006F5" w:rsidRPr="00826C9D" w:rsidRDefault="003006F5" w:rsidP="00F64263">
      <w:pPr>
        <w:pStyle w:val="Nagwek2"/>
        <w:numPr>
          <w:ilvl w:val="0"/>
          <w:numId w:val="1"/>
        </w:numPr>
        <w:ind w:left="426" w:hanging="426"/>
        <w:rPr>
          <w:rFonts w:cs="Arial"/>
          <w:smallCaps/>
          <w:szCs w:val="20"/>
        </w:rPr>
      </w:pPr>
      <w:bookmarkStart w:id="19" w:name="_Toc408483789"/>
      <w:bookmarkStart w:id="20" w:name="_Toc198211966"/>
      <w:bookmarkStart w:id="21" w:name="_Toc218669622"/>
      <w:r w:rsidRPr="00826C9D">
        <w:rPr>
          <w:rFonts w:cs="Arial"/>
          <w:smallCaps/>
          <w:szCs w:val="20"/>
        </w:rPr>
        <w:t>Przeglądy gwarancyjne</w:t>
      </w:r>
      <w:bookmarkEnd w:id="19"/>
      <w:bookmarkEnd w:id="20"/>
      <w:bookmarkEnd w:id="21"/>
    </w:p>
    <w:p w14:paraId="232621AE"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Komisyjne Przeglądy Gwarancyjne odbywać się będą, według uznania Zamawiającego, nie rzadziej niż raz w roku i zawsze kiedy Zamawiający uzna to za uzasadnione w okresie obowiązywania Gwarancji.</w:t>
      </w:r>
    </w:p>
    <w:p w14:paraId="08E6D7C5"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 przypadku Przeglądów Gwarancyjnych z dużym zakresem robót, dla każdej grupy robót (mostowa, drogowa, ochrona środowiska, instalacje itp.) Zamawiający może przeprowadzić odrębne przeglądy gwarancyjne nie koniecznie w tym samym czasie (porze roku).</w:t>
      </w:r>
    </w:p>
    <w:p w14:paraId="1AF065F4" w14:textId="54C53B91"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Datę, godzinę i miejsce dokonania Przeglądu Gwarancyjnego dla każdej komisji wyznacza Zamawiający, zawiadamiając o nim Gwaranta na piśmie, z co najmniej 21-dniowym wyprzedzeniem. Gwarant jest obowiązany uczestniczyć w przeglądach gwarancyjnych.</w:t>
      </w:r>
    </w:p>
    <w:p w14:paraId="1383FCC3" w14:textId="0A771959"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W skład każdej komisji przeglądowej będą wchodziły, co najmniej dwie osoby wyznaczone przez Zamawiającego oraz co najmniej dwie osoby wyznaczone przez Gwaranta. Gwarant jest zobowiązany wyznaczyć co najmniej dwie osoby do dokonania przeglądu gwarancyjnego </w:t>
      </w:r>
      <w:r w:rsidR="00574A68" w:rsidRPr="00826C9D">
        <w:rPr>
          <w:rFonts w:ascii="Arial" w:hAnsi="Arial"/>
        </w:rPr>
        <w:br/>
      </w:r>
      <w:r w:rsidRPr="00826C9D">
        <w:rPr>
          <w:rFonts w:ascii="Arial" w:hAnsi="Arial"/>
        </w:rPr>
        <w:t>i wskazać Zamawiającemu wyznaczone osoby na piśmie w terminie najpóźniej na  7 dni przed planowanym przeglądem.</w:t>
      </w:r>
    </w:p>
    <w:p w14:paraId="49848461" w14:textId="488E7693"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Na Gwarancie spoczywa obowiązek zabezpieczenia dokonania Przeglądu Gwarancyjnego </w:t>
      </w:r>
      <w:r w:rsidR="002A439E" w:rsidRPr="00826C9D">
        <w:rPr>
          <w:rFonts w:ascii="Arial" w:hAnsi="Arial"/>
        </w:rPr>
        <w:br/>
      </w:r>
      <w:r w:rsidRPr="00826C9D">
        <w:rPr>
          <w:rFonts w:ascii="Arial" w:hAnsi="Arial"/>
        </w:rPr>
        <w:t xml:space="preserve">w okresie gwarancyjnym, tj. bezpośredni dostęp do przeglądanych elementów konstrukcji </w:t>
      </w:r>
      <w:r w:rsidR="002A439E" w:rsidRPr="00826C9D">
        <w:rPr>
          <w:rFonts w:ascii="Arial" w:hAnsi="Arial"/>
        </w:rPr>
        <w:br/>
      </w:r>
      <w:r w:rsidRPr="00826C9D">
        <w:rPr>
          <w:rFonts w:ascii="Arial" w:hAnsi="Arial"/>
        </w:rPr>
        <w:t>i wyposażenia (wg potrzeb: zwyżka, łódź itp.).</w:t>
      </w:r>
    </w:p>
    <w:p w14:paraId="7BD75846" w14:textId="1C67BC8C"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Z każdego Przeglądu Gwarancyjnego sporządzany będzie szczegółowy Protokół Przeglądu Gwarancyjnego, w co najmniej dwóch egzemplarzach, po jednym dla Zamawiającego i dla Gwaranta. W przypadku nieobecności przedstawicieli Gwaranta w komisji, Zamawiający niezwłocznie prześle Gwarantowi jeden egzemplarz Protokołu Przeglądu Gwarancyjnego.</w:t>
      </w:r>
    </w:p>
    <w:p w14:paraId="0F6269DF" w14:textId="1ED5967E"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 przypadku odmowy przez Gwaranta podpisania Protokołu Przeglądu Gwarancyjnego, Zamawiający będzie uprawniony do jednostronnego podpisania Protokołu Przeglądu</w:t>
      </w:r>
      <w:r w:rsidR="002A439E" w:rsidRPr="00826C9D">
        <w:rPr>
          <w:rFonts w:ascii="Arial" w:hAnsi="Arial"/>
        </w:rPr>
        <w:t xml:space="preserve"> </w:t>
      </w:r>
      <w:r w:rsidRPr="00826C9D">
        <w:rPr>
          <w:rFonts w:ascii="Arial" w:hAnsi="Arial"/>
        </w:rPr>
        <w:t>Gwarancyjnego.</w:t>
      </w:r>
    </w:p>
    <w:p w14:paraId="4D844DFA"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Jeżeli Gwarant został prawidłowo zawiadomiony o terminie i miejscu dokonania przeglądu gwarancyjnego, tj. zgodnie z punktem 4.3 niniejszej Części Ogólnej, niestawienie się jego przedstawicieli nie będzie wywoływało żadnych ujemnych skutków dla ważności i skuteczności ustaleń dokonanych przez komisję przeglądową. W takim przypadku Zamawiający będzie uprawniony do jednostronnego podpisania Protokołu Przeglądu Gwarancyjnego</w:t>
      </w:r>
    </w:p>
    <w:p w14:paraId="67B051F9" w14:textId="02FB2084"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lastRenderedPageBreak/>
        <w:t xml:space="preserve">W przypadku niestawiennictwa przedstawicieli Gwaranta w komisji w miejscu dokonania Przeglądu Gwarancyjnego bądź niewypełnienie przez Gwaranta innych zobowiązań określonych w niniejszej gwarancji, jeżeli na skutek tego nie będzie możliwe wykonanie przeglądu, Zamawiający będzie uprawniony do zlecenia wykonania przeglądu podmiotowi trzeciemu, </w:t>
      </w:r>
      <w:r w:rsidR="002A439E" w:rsidRPr="00826C9D">
        <w:rPr>
          <w:rFonts w:ascii="Arial" w:hAnsi="Arial"/>
        </w:rPr>
        <w:br/>
      </w:r>
      <w:r w:rsidRPr="00826C9D">
        <w:rPr>
          <w:rFonts w:ascii="Arial" w:hAnsi="Arial"/>
        </w:rPr>
        <w:t>a Gwarant zostanie obciążony kosztami przeprowadzenia przeglądu.</w:t>
      </w:r>
    </w:p>
    <w:p w14:paraId="7245BBB5" w14:textId="77777777" w:rsidR="003006F5" w:rsidRPr="00826C9D" w:rsidRDefault="003006F5" w:rsidP="00F64263">
      <w:pPr>
        <w:pStyle w:val="Nagwek2"/>
        <w:numPr>
          <w:ilvl w:val="0"/>
          <w:numId w:val="1"/>
        </w:numPr>
        <w:ind w:left="426" w:hanging="426"/>
        <w:rPr>
          <w:rFonts w:cs="Arial"/>
          <w:smallCaps/>
          <w:szCs w:val="20"/>
        </w:rPr>
      </w:pPr>
      <w:bookmarkStart w:id="22" w:name="_Toc408483790"/>
      <w:bookmarkStart w:id="23" w:name="_Toc198211967"/>
      <w:bookmarkStart w:id="24" w:name="_Toc218669623"/>
      <w:r w:rsidRPr="00826C9D">
        <w:rPr>
          <w:rFonts w:cs="Arial"/>
          <w:smallCaps/>
          <w:szCs w:val="20"/>
        </w:rPr>
        <w:t>Tryb usuwania Wad</w:t>
      </w:r>
      <w:bookmarkEnd w:id="22"/>
      <w:bookmarkEnd w:id="23"/>
      <w:bookmarkEnd w:id="24"/>
    </w:p>
    <w:p w14:paraId="783F116D" w14:textId="771B190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Gwarant obowiązany jest rozpocząć usuwanie ujawnionej Wady według przedstawionych </w:t>
      </w:r>
      <w:r w:rsidR="002A439E" w:rsidRPr="00826C9D">
        <w:rPr>
          <w:rFonts w:ascii="Arial" w:hAnsi="Arial"/>
        </w:rPr>
        <w:br/>
      </w:r>
      <w:r w:rsidRPr="00826C9D">
        <w:rPr>
          <w:rFonts w:ascii="Arial" w:hAnsi="Arial"/>
        </w:rPr>
        <w:t>w  tabeli 1 wymagań technicznych oraz czasowych:</w:t>
      </w:r>
    </w:p>
    <w:p w14:paraId="268C7A69" w14:textId="77777777" w:rsidR="003006F5" w:rsidRPr="00826C9D" w:rsidRDefault="003006F5" w:rsidP="00465AC4">
      <w:pPr>
        <w:spacing w:before="120" w:after="0"/>
        <w:jc w:val="both"/>
        <w:rPr>
          <w:rFonts w:ascii="Arial" w:hAnsi="Arial"/>
          <w:i/>
          <w:iCs/>
        </w:rPr>
      </w:pPr>
      <w:r w:rsidRPr="00826C9D">
        <w:rPr>
          <w:rFonts w:ascii="Arial" w:hAnsi="Arial"/>
          <w:i/>
          <w:iCs/>
        </w:rPr>
        <w:t>Tabela 1. Wymagania techniczne oraz czasowe dla usuwania Wad.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3"/>
        <w:gridCol w:w="2881"/>
        <w:gridCol w:w="2881"/>
      </w:tblGrid>
      <w:tr w:rsidR="003006F5" w:rsidRPr="00826C9D" w14:paraId="36BF69AE" w14:textId="77777777" w:rsidTr="00F53B90">
        <w:trPr>
          <w:cantSplit/>
        </w:trPr>
        <w:tc>
          <w:tcPr>
            <w:tcW w:w="2773" w:type="dxa"/>
          </w:tcPr>
          <w:p w14:paraId="7640D2B3" w14:textId="77777777" w:rsidR="003006F5" w:rsidRPr="00826C9D" w:rsidRDefault="003006F5" w:rsidP="00465AC4">
            <w:pPr>
              <w:spacing w:before="120" w:after="120"/>
              <w:jc w:val="center"/>
              <w:rPr>
                <w:rFonts w:ascii="Arial" w:hAnsi="Arial"/>
                <w:b/>
                <w:bCs/>
              </w:rPr>
            </w:pPr>
            <w:r w:rsidRPr="00826C9D">
              <w:rPr>
                <w:rFonts w:ascii="Arial" w:hAnsi="Arial"/>
                <w:b/>
                <w:bCs/>
              </w:rPr>
              <w:t>Klasyfikacja Wad</w:t>
            </w:r>
          </w:p>
        </w:tc>
        <w:tc>
          <w:tcPr>
            <w:tcW w:w="2881" w:type="dxa"/>
          </w:tcPr>
          <w:p w14:paraId="2FE024F3" w14:textId="77777777" w:rsidR="003006F5" w:rsidRPr="00826C9D" w:rsidRDefault="003006F5" w:rsidP="00465AC4">
            <w:pPr>
              <w:spacing w:before="120" w:after="120"/>
              <w:jc w:val="center"/>
              <w:rPr>
                <w:rFonts w:ascii="Arial" w:hAnsi="Arial"/>
                <w:b/>
                <w:bCs/>
              </w:rPr>
            </w:pPr>
            <w:r w:rsidRPr="00826C9D">
              <w:rPr>
                <w:rFonts w:ascii="Arial" w:hAnsi="Arial"/>
                <w:b/>
                <w:bCs/>
              </w:rPr>
              <w:t>Reakcja Gwaranta</w:t>
            </w:r>
          </w:p>
        </w:tc>
        <w:tc>
          <w:tcPr>
            <w:tcW w:w="2881" w:type="dxa"/>
          </w:tcPr>
          <w:p w14:paraId="44F644EF" w14:textId="77777777" w:rsidR="003006F5" w:rsidRPr="00826C9D" w:rsidRDefault="003006F5" w:rsidP="00465AC4">
            <w:pPr>
              <w:spacing w:before="120" w:after="120"/>
              <w:jc w:val="center"/>
              <w:rPr>
                <w:rFonts w:ascii="Arial" w:hAnsi="Arial"/>
                <w:b/>
                <w:bCs/>
              </w:rPr>
            </w:pPr>
            <w:r w:rsidRPr="00826C9D">
              <w:rPr>
                <w:rFonts w:ascii="Arial" w:hAnsi="Arial"/>
                <w:b/>
                <w:bCs/>
              </w:rPr>
              <w:t>Wymagany czas reakcji</w:t>
            </w:r>
          </w:p>
        </w:tc>
      </w:tr>
      <w:tr w:rsidR="003006F5" w:rsidRPr="00826C9D" w14:paraId="2A4FDBA3" w14:textId="77777777" w:rsidTr="00465AC4">
        <w:trPr>
          <w:cantSplit/>
        </w:trPr>
        <w:tc>
          <w:tcPr>
            <w:tcW w:w="2773" w:type="dxa"/>
            <w:vMerge w:val="restart"/>
            <w:vAlign w:val="center"/>
          </w:tcPr>
          <w:p w14:paraId="6845FE6B" w14:textId="77777777" w:rsidR="003006F5" w:rsidRPr="00826C9D" w:rsidRDefault="003006F5" w:rsidP="00465AC4">
            <w:pPr>
              <w:spacing w:before="40" w:after="40"/>
              <w:rPr>
                <w:rFonts w:ascii="Arial" w:hAnsi="Arial"/>
              </w:rPr>
            </w:pPr>
            <w:r w:rsidRPr="00826C9D">
              <w:rPr>
                <w:rFonts w:ascii="Arial" w:hAnsi="Arial"/>
              </w:rPr>
              <w:t>Wady Istotne</w:t>
            </w:r>
          </w:p>
          <w:p w14:paraId="603E3047" w14:textId="77777777" w:rsidR="003006F5" w:rsidRPr="00826C9D" w:rsidRDefault="003006F5" w:rsidP="00465AC4">
            <w:pPr>
              <w:spacing w:before="40" w:after="40"/>
              <w:rPr>
                <w:rFonts w:ascii="Arial" w:hAnsi="Arial"/>
              </w:rPr>
            </w:pPr>
            <w:r w:rsidRPr="00826C9D">
              <w:rPr>
                <w:rFonts w:ascii="Arial" w:hAnsi="Arial"/>
              </w:rPr>
              <w:t>zgodnie z definicją zawartą w Subklauzuli 1.1.3.7 (d)</w:t>
            </w:r>
          </w:p>
        </w:tc>
        <w:tc>
          <w:tcPr>
            <w:tcW w:w="2881" w:type="dxa"/>
            <w:vAlign w:val="center"/>
          </w:tcPr>
          <w:p w14:paraId="4CCEF2BA" w14:textId="77777777" w:rsidR="003006F5" w:rsidRPr="00826C9D" w:rsidRDefault="003006F5" w:rsidP="00465AC4">
            <w:pPr>
              <w:spacing w:before="40" w:after="40"/>
              <w:rPr>
                <w:rFonts w:ascii="Arial" w:hAnsi="Arial"/>
              </w:rPr>
            </w:pPr>
            <w:r w:rsidRPr="00826C9D">
              <w:rPr>
                <w:rFonts w:ascii="Arial" w:hAnsi="Arial"/>
              </w:rPr>
              <w:t>1) Potwierdzenie przyjęcia  zgłoszenia i określenie sposobu usunięcia Wady</w:t>
            </w:r>
          </w:p>
        </w:tc>
        <w:tc>
          <w:tcPr>
            <w:tcW w:w="2881" w:type="dxa"/>
            <w:vAlign w:val="center"/>
          </w:tcPr>
          <w:p w14:paraId="3A42A8BB" w14:textId="77777777" w:rsidR="003006F5" w:rsidRPr="00826C9D" w:rsidRDefault="003006F5" w:rsidP="00465AC4">
            <w:pPr>
              <w:spacing w:before="40" w:after="40"/>
              <w:jc w:val="center"/>
              <w:rPr>
                <w:rFonts w:ascii="Arial" w:hAnsi="Arial"/>
              </w:rPr>
            </w:pPr>
            <w:r w:rsidRPr="00826C9D">
              <w:rPr>
                <w:rFonts w:ascii="Arial" w:hAnsi="Arial"/>
              </w:rPr>
              <w:t>Do 24 h od chwili powiadomienia</w:t>
            </w:r>
          </w:p>
        </w:tc>
      </w:tr>
      <w:tr w:rsidR="003006F5" w:rsidRPr="00826C9D" w14:paraId="0BC8E793" w14:textId="77777777" w:rsidTr="00465AC4">
        <w:trPr>
          <w:cantSplit/>
          <w:trHeight w:val="901"/>
        </w:trPr>
        <w:tc>
          <w:tcPr>
            <w:tcW w:w="2773" w:type="dxa"/>
            <w:vMerge/>
            <w:vAlign w:val="center"/>
          </w:tcPr>
          <w:p w14:paraId="54A9BD8D" w14:textId="77777777" w:rsidR="003006F5" w:rsidRPr="00826C9D" w:rsidRDefault="003006F5" w:rsidP="00465AC4">
            <w:pPr>
              <w:spacing w:before="40" w:after="40"/>
              <w:rPr>
                <w:rFonts w:ascii="Arial" w:hAnsi="Arial"/>
              </w:rPr>
            </w:pPr>
          </w:p>
        </w:tc>
        <w:tc>
          <w:tcPr>
            <w:tcW w:w="2881" w:type="dxa"/>
            <w:vAlign w:val="center"/>
          </w:tcPr>
          <w:p w14:paraId="0ED9B30D" w14:textId="77777777" w:rsidR="003006F5" w:rsidRPr="00826C9D" w:rsidRDefault="003006F5" w:rsidP="00465AC4">
            <w:pPr>
              <w:spacing w:before="40" w:after="40"/>
              <w:rPr>
                <w:rFonts w:ascii="Arial" w:hAnsi="Arial"/>
              </w:rPr>
            </w:pPr>
            <w:r w:rsidRPr="00826C9D">
              <w:rPr>
                <w:rFonts w:ascii="Arial" w:hAnsi="Arial"/>
              </w:rPr>
              <w:t>2) Zapewnienie nieprzerwanej dostępności do drogi i jej przejezdności</w:t>
            </w:r>
          </w:p>
        </w:tc>
        <w:tc>
          <w:tcPr>
            <w:tcW w:w="2881" w:type="dxa"/>
            <w:vAlign w:val="center"/>
          </w:tcPr>
          <w:p w14:paraId="50B6B19E" w14:textId="77777777" w:rsidR="003006F5" w:rsidRPr="00826C9D" w:rsidRDefault="003006F5" w:rsidP="00465AC4">
            <w:pPr>
              <w:spacing w:before="40" w:after="40"/>
              <w:jc w:val="center"/>
              <w:rPr>
                <w:rFonts w:ascii="Arial" w:hAnsi="Arial"/>
              </w:rPr>
            </w:pPr>
            <w:r w:rsidRPr="00826C9D">
              <w:rPr>
                <w:rFonts w:ascii="Arial" w:hAnsi="Arial"/>
              </w:rPr>
              <w:t>Do 72 h od chwili powiadomienia</w:t>
            </w:r>
          </w:p>
        </w:tc>
      </w:tr>
      <w:tr w:rsidR="003006F5" w:rsidRPr="00826C9D" w14:paraId="18E72CB4" w14:textId="77777777" w:rsidTr="00465AC4">
        <w:trPr>
          <w:cantSplit/>
          <w:trHeight w:val="1128"/>
        </w:trPr>
        <w:tc>
          <w:tcPr>
            <w:tcW w:w="2773" w:type="dxa"/>
            <w:vMerge/>
            <w:vAlign w:val="center"/>
          </w:tcPr>
          <w:p w14:paraId="35689878" w14:textId="77777777" w:rsidR="003006F5" w:rsidRPr="00826C9D" w:rsidRDefault="003006F5" w:rsidP="00465AC4">
            <w:pPr>
              <w:spacing w:before="40" w:after="40"/>
              <w:rPr>
                <w:rFonts w:ascii="Arial" w:hAnsi="Arial"/>
              </w:rPr>
            </w:pPr>
          </w:p>
        </w:tc>
        <w:tc>
          <w:tcPr>
            <w:tcW w:w="2881" w:type="dxa"/>
            <w:vAlign w:val="center"/>
          </w:tcPr>
          <w:p w14:paraId="08ADF190" w14:textId="77777777" w:rsidR="003006F5" w:rsidRPr="00826C9D" w:rsidRDefault="003006F5" w:rsidP="00465AC4">
            <w:pPr>
              <w:spacing w:before="40" w:after="40"/>
              <w:rPr>
                <w:rFonts w:ascii="Arial" w:hAnsi="Arial"/>
              </w:rPr>
            </w:pPr>
            <w:r w:rsidRPr="00826C9D">
              <w:rPr>
                <w:rFonts w:ascii="Arial" w:hAnsi="Arial"/>
              </w:rPr>
              <w:t>3) Całkowite usunięcie Wady</w:t>
            </w:r>
          </w:p>
        </w:tc>
        <w:tc>
          <w:tcPr>
            <w:tcW w:w="2881" w:type="dxa"/>
            <w:vAlign w:val="center"/>
          </w:tcPr>
          <w:p w14:paraId="1418DD1C" w14:textId="77777777" w:rsidR="003006F5" w:rsidRPr="00826C9D" w:rsidRDefault="003006F5" w:rsidP="00465AC4">
            <w:pPr>
              <w:spacing w:before="40" w:after="40"/>
              <w:jc w:val="center"/>
              <w:rPr>
                <w:rFonts w:ascii="Arial" w:hAnsi="Arial"/>
              </w:rPr>
            </w:pPr>
            <w:r w:rsidRPr="00826C9D">
              <w:rPr>
                <w:rFonts w:ascii="Arial" w:hAnsi="Arial"/>
              </w:rPr>
              <w:t>Zgodnie ze wskazanym przez Zamawiającego w powiadomieniu  terminem na usunięcie Wady</w:t>
            </w:r>
          </w:p>
        </w:tc>
      </w:tr>
      <w:tr w:rsidR="003006F5" w:rsidRPr="00826C9D" w14:paraId="205BAB03" w14:textId="77777777" w:rsidTr="00465AC4">
        <w:trPr>
          <w:cantSplit/>
        </w:trPr>
        <w:tc>
          <w:tcPr>
            <w:tcW w:w="2773" w:type="dxa"/>
            <w:vMerge w:val="restart"/>
            <w:vAlign w:val="center"/>
          </w:tcPr>
          <w:p w14:paraId="77AAAB56" w14:textId="77777777" w:rsidR="003006F5" w:rsidRPr="00826C9D" w:rsidRDefault="003006F5" w:rsidP="00465AC4">
            <w:pPr>
              <w:spacing w:before="40" w:after="40"/>
              <w:rPr>
                <w:rFonts w:ascii="Arial" w:hAnsi="Arial"/>
              </w:rPr>
            </w:pPr>
            <w:r w:rsidRPr="00826C9D">
              <w:rPr>
                <w:rFonts w:ascii="Arial" w:hAnsi="Arial"/>
              </w:rPr>
              <w:t>Wady Nieistotne</w:t>
            </w:r>
          </w:p>
          <w:p w14:paraId="697BFA0D" w14:textId="77777777" w:rsidR="003006F5" w:rsidRPr="00826C9D" w:rsidRDefault="003006F5" w:rsidP="00465AC4">
            <w:pPr>
              <w:spacing w:before="40" w:after="40"/>
              <w:rPr>
                <w:rFonts w:ascii="Arial" w:hAnsi="Arial"/>
              </w:rPr>
            </w:pPr>
            <w:r w:rsidRPr="00826C9D">
              <w:rPr>
                <w:rFonts w:ascii="Arial" w:hAnsi="Arial"/>
              </w:rPr>
              <w:t>zgodnie z definicją zawartą w Subklauzuli 1.1.3.7 (e)</w:t>
            </w:r>
          </w:p>
        </w:tc>
        <w:tc>
          <w:tcPr>
            <w:tcW w:w="2881" w:type="dxa"/>
            <w:vAlign w:val="center"/>
          </w:tcPr>
          <w:p w14:paraId="5434AFA5" w14:textId="77777777" w:rsidR="003006F5" w:rsidRPr="00826C9D" w:rsidRDefault="003006F5" w:rsidP="00465AC4">
            <w:pPr>
              <w:spacing w:before="40" w:after="40"/>
              <w:rPr>
                <w:rFonts w:ascii="Arial" w:hAnsi="Arial"/>
              </w:rPr>
            </w:pPr>
            <w:r w:rsidRPr="00826C9D">
              <w:rPr>
                <w:rFonts w:ascii="Arial" w:hAnsi="Arial"/>
              </w:rPr>
              <w:t>1) Potwierdzenie przyjęcia zgłoszenia i określenie sposobu usunięcia Wady</w:t>
            </w:r>
          </w:p>
        </w:tc>
        <w:tc>
          <w:tcPr>
            <w:tcW w:w="2881" w:type="dxa"/>
            <w:vAlign w:val="center"/>
          </w:tcPr>
          <w:p w14:paraId="04432E81" w14:textId="77777777" w:rsidR="003006F5" w:rsidRPr="00826C9D" w:rsidRDefault="003006F5" w:rsidP="00465AC4">
            <w:pPr>
              <w:spacing w:before="40" w:after="40"/>
              <w:jc w:val="center"/>
              <w:rPr>
                <w:rFonts w:ascii="Arial" w:hAnsi="Arial"/>
              </w:rPr>
            </w:pPr>
            <w:r w:rsidRPr="00826C9D">
              <w:rPr>
                <w:rFonts w:ascii="Arial" w:hAnsi="Arial"/>
              </w:rPr>
              <w:t>Do 72 h od chwili powiadomienia</w:t>
            </w:r>
          </w:p>
        </w:tc>
      </w:tr>
      <w:tr w:rsidR="003006F5" w:rsidRPr="00826C9D" w14:paraId="65198765" w14:textId="77777777" w:rsidTr="00465AC4">
        <w:trPr>
          <w:cantSplit/>
        </w:trPr>
        <w:tc>
          <w:tcPr>
            <w:tcW w:w="2773" w:type="dxa"/>
            <w:vMerge/>
            <w:vAlign w:val="center"/>
          </w:tcPr>
          <w:p w14:paraId="77BC42A4" w14:textId="77777777" w:rsidR="003006F5" w:rsidRPr="00826C9D" w:rsidRDefault="003006F5" w:rsidP="00465AC4">
            <w:pPr>
              <w:spacing w:before="40" w:after="40"/>
              <w:rPr>
                <w:rFonts w:ascii="Arial" w:hAnsi="Arial"/>
              </w:rPr>
            </w:pPr>
          </w:p>
        </w:tc>
        <w:tc>
          <w:tcPr>
            <w:tcW w:w="2881" w:type="dxa"/>
            <w:vAlign w:val="center"/>
          </w:tcPr>
          <w:p w14:paraId="0C558265" w14:textId="77777777" w:rsidR="003006F5" w:rsidRPr="00826C9D" w:rsidRDefault="003006F5" w:rsidP="00465AC4">
            <w:pPr>
              <w:spacing w:before="40" w:after="40"/>
              <w:rPr>
                <w:rFonts w:ascii="Arial" w:hAnsi="Arial"/>
              </w:rPr>
            </w:pPr>
            <w:r w:rsidRPr="00826C9D">
              <w:rPr>
                <w:rFonts w:ascii="Arial" w:hAnsi="Arial"/>
              </w:rPr>
              <w:t>2) Całkowite usunięcie Wady</w:t>
            </w:r>
          </w:p>
        </w:tc>
        <w:tc>
          <w:tcPr>
            <w:tcW w:w="2881" w:type="dxa"/>
            <w:vAlign w:val="center"/>
          </w:tcPr>
          <w:p w14:paraId="4778170F" w14:textId="77777777" w:rsidR="003006F5" w:rsidRPr="00826C9D" w:rsidRDefault="003006F5" w:rsidP="00465AC4">
            <w:pPr>
              <w:spacing w:before="40" w:after="40"/>
              <w:jc w:val="center"/>
              <w:rPr>
                <w:rFonts w:ascii="Arial" w:hAnsi="Arial"/>
              </w:rPr>
            </w:pPr>
            <w:r w:rsidRPr="00826C9D">
              <w:rPr>
                <w:rFonts w:ascii="Arial" w:hAnsi="Arial"/>
              </w:rPr>
              <w:t>Zgodnie ze wskazanym przez Zamawiającego w powiadomieniu terminem na usunięcie Wady</w:t>
            </w:r>
          </w:p>
        </w:tc>
      </w:tr>
      <w:tr w:rsidR="003006F5" w:rsidRPr="00826C9D" w14:paraId="197B9AA8" w14:textId="77777777" w:rsidTr="00465AC4">
        <w:trPr>
          <w:cantSplit/>
          <w:trHeight w:val="1254"/>
        </w:trPr>
        <w:tc>
          <w:tcPr>
            <w:tcW w:w="2773" w:type="dxa"/>
            <w:vAlign w:val="center"/>
          </w:tcPr>
          <w:p w14:paraId="1F6C0B94" w14:textId="77777777" w:rsidR="003006F5" w:rsidRPr="00826C9D" w:rsidRDefault="003006F5" w:rsidP="00465AC4">
            <w:pPr>
              <w:spacing w:before="40" w:after="40"/>
              <w:rPr>
                <w:rFonts w:ascii="Arial" w:hAnsi="Arial"/>
              </w:rPr>
            </w:pPr>
            <w:r w:rsidRPr="00826C9D">
              <w:rPr>
                <w:rFonts w:ascii="Arial" w:hAnsi="Arial"/>
              </w:rPr>
              <w:t xml:space="preserve">Wady w Dokumentach Wykonawcy </w:t>
            </w:r>
          </w:p>
          <w:p w14:paraId="0F04F719" w14:textId="77777777" w:rsidR="003006F5" w:rsidRPr="00826C9D" w:rsidRDefault="003006F5" w:rsidP="00465AC4">
            <w:pPr>
              <w:spacing w:before="40" w:after="40"/>
              <w:rPr>
                <w:rFonts w:ascii="Arial" w:hAnsi="Arial"/>
              </w:rPr>
            </w:pPr>
            <w:r w:rsidRPr="00826C9D">
              <w:rPr>
                <w:rFonts w:ascii="Arial" w:hAnsi="Arial"/>
              </w:rPr>
              <w:t>zgodnie z definicją zawartą w Subklauzuli 1.1.3.7 (c)</w:t>
            </w:r>
          </w:p>
        </w:tc>
        <w:tc>
          <w:tcPr>
            <w:tcW w:w="2881" w:type="dxa"/>
            <w:vAlign w:val="center"/>
          </w:tcPr>
          <w:p w14:paraId="4C8834C0" w14:textId="77777777" w:rsidR="003006F5" w:rsidRPr="00826C9D" w:rsidRDefault="003006F5" w:rsidP="00465AC4">
            <w:pPr>
              <w:spacing w:before="40" w:after="40"/>
              <w:rPr>
                <w:rFonts w:ascii="Arial" w:hAnsi="Arial"/>
              </w:rPr>
            </w:pPr>
            <w:r w:rsidRPr="00826C9D">
              <w:rPr>
                <w:rFonts w:ascii="Arial" w:hAnsi="Arial"/>
              </w:rPr>
              <w:t>Usunięcie Wady</w:t>
            </w:r>
          </w:p>
        </w:tc>
        <w:tc>
          <w:tcPr>
            <w:tcW w:w="2881" w:type="dxa"/>
            <w:vAlign w:val="center"/>
          </w:tcPr>
          <w:p w14:paraId="205C8C35" w14:textId="77777777" w:rsidR="003006F5" w:rsidRPr="00826C9D" w:rsidRDefault="003006F5" w:rsidP="00465AC4">
            <w:pPr>
              <w:spacing w:before="40" w:after="40"/>
              <w:jc w:val="center"/>
              <w:rPr>
                <w:rFonts w:ascii="Arial" w:hAnsi="Arial"/>
              </w:rPr>
            </w:pPr>
            <w:r w:rsidRPr="00826C9D">
              <w:rPr>
                <w:rFonts w:ascii="Arial" w:hAnsi="Arial"/>
              </w:rPr>
              <w:t>Zgodnie ze wskazanym przez Zamawiającego w powiadomieniu  terminem na usunięcie Wady</w:t>
            </w:r>
          </w:p>
        </w:tc>
      </w:tr>
    </w:tbl>
    <w:p w14:paraId="35E8EADC" w14:textId="77777777" w:rsidR="003006F5" w:rsidRPr="00826C9D" w:rsidRDefault="003006F5" w:rsidP="003006F5">
      <w:pPr>
        <w:spacing w:before="120" w:after="120"/>
        <w:jc w:val="both"/>
        <w:rPr>
          <w:rFonts w:ascii="Arial" w:hAnsi="Arial"/>
        </w:rPr>
      </w:pPr>
    </w:p>
    <w:p w14:paraId="4386CCDE"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Zamawiający, po przedłożeniu przez Gwaranta pisemnego uzasadnienia, może zmienić terminy wskazane w punkcie 5.1 niniejszej Części Ogólnej, uwzględniając technologię usuwania Wady, zasady wiedzy technicznej i warunki klimatyczne.</w:t>
      </w:r>
    </w:p>
    <w:p w14:paraId="256E3D69" w14:textId="659C20C6"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Stwierdzenie usunięcia Wady nastąpi z chwilą niezwłocznego podpisania przez obie Strony, Protokołu Odbioru Prac z usuwania Wady. W Protokole Strony potwierdzą także termin usunięcia Wady. W przypadku braku możliwości podpisania protokołu w dniu, w którym dokonano usunięcia Wady, należy w późniejszym Protokole podać jej faktyczną datę usunięcia.</w:t>
      </w:r>
    </w:p>
    <w:p w14:paraId="1136BA0B"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Jeżeli Gwarant nie wypełni obowiązku usunięcia Wady w uzgodnionym terminie, Zamawiający będzie uprawniony do zlecenia usunięcia Wady podmiotowi trzeciemu, </w:t>
      </w:r>
      <w:r w:rsidR="00465AC4" w:rsidRPr="00826C9D">
        <w:rPr>
          <w:rFonts w:ascii="Arial" w:hAnsi="Arial"/>
        </w:rPr>
        <w:br/>
      </w:r>
      <w:r w:rsidRPr="00826C9D">
        <w:rPr>
          <w:rFonts w:ascii="Arial" w:hAnsi="Arial"/>
        </w:rPr>
        <w:t xml:space="preserve">a Gwarant zostanie obciążony kosztami usunięcia Wady. Powyższe nie wyłącza innych </w:t>
      </w:r>
      <w:r w:rsidRPr="00826C9D">
        <w:rPr>
          <w:rFonts w:ascii="Arial" w:hAnsi="Arial"/>
        </w:rPr>
        <w:lastRenderedPageBreak/>
        <w:t>uprawnień Zamawiającego wynikających z tytułu Gwarancji Jakości i Rękojmi za Wady oraz przepisów prawa.</w:t>
      </w:r>
    </w:p>
    <w:p w14:paraId="7B8BE3C0"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Gwarant jest odpowiedzialny za wszelkie szkody i straty, które spowodował w czasie prac nad usuwaniem Wad.</w:t>
      </w:r>
    </w:p>
    <w:p w14:paraId="40AD3FF3" w14:textId="77777777" w:rsidR="003006F5" w:rsidRPr="00826C9D" w:rsidRDefault="003006F5" w:rsidP="00F64263">
      <w:pPr>
        <w:pStyle w:val="Nagwek2"/>
        <w:numPr>
          <w:ilvl w:val="0"/>
          <w:numId w:val="1"/>
        </w:numPr>
        <w:ind w:left="426" w:hanging="426"/>
        <w:rPr>
          <w:rFonts w:cs="Arial"/>
          <w:smallCaps/>
          <w:szCs w:val="20"/>
        </w:rPr>
      </w:pPr>
      <w:bookmarkStart w:id="25" w:name="_Toc408483791"/>
      <w:bookmarkStart w:id="26" w:name="_Toc198211968"/>
      <w:bookmarkStart w:id="27" w:name="_Toc218669624"/>
      <w:r w:rsidRPr="00826C9D">
        <w:rPr>
          <w:rFonts w:cs="Arial"/>
          <w:smallCaps/>
          <w:szCs w:val="20"/>
        </w:rPr>
        <w:t>Komunikacja</w:t>
      </w:r>
      <w:bookmarkEnd w:id="25"/>
      <w:bookmarkEnd w:id="26"/>
      <w:bookmarkEnd w:id="27"/>
    </w:p>
    <w:p w14:paraId="517B2937"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Powiadomienia o wystąpieniu Wady dokonuje Zamawiający poprzez przekazanie odpowiedniej informacji osobie wskazanej przez Gwaranta.</w:t>
      </w:r>
    </w:p>
    <w:p w14:paraId="7CE8F7F2"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 powiadomieniu o wystąpieniu Wady, Zamawiający kwalifikuje kategorię Wady według kategorii ustalonych w tabeli zawartej w punkcie 5.1 niniejszej Części Ogólnej.</w:t>
      </w:r>
    </w:p>
    <w:p w14:paraId="107CFE5F"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Wszelka komunikacja pomiędzy Stronami potwierdzona zostanie w formie pisemnej.</w:t>
      </w:r>
    </w:p>
    <w:p w14:paraId="263734F1"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O wystąpieniu Wady stwierdzonej „ad hoc” lub podczas Przeglądu Gwarancyjnego odbywającego się bez udziału przedstawicieli Gwaranta w komisji, osoba wyznaczona przez Zamawiającego powiadamia telefonicznie osobę wskazaną przez Gwaranta, </w:t>
      </w:r>
      <w:r w:rsidR="00465AC4" w:rsidRPr="00826C9D">
        <w:rPr>
          <w:rFonts w:ascii="Arial" w:hAnsi="Arial"/>
        </w:rPr>
        <w:br/>
      </w:r>
      <w:r w:rsidRPr="00826C9D">
        <w:rPr>
          <w:rFonts w:ascii="Arial" w:hAnsi="Arial"/>
        </w:rPr>
        <w:t>a następnie potwierdza powiadomienie o wystąpieniu wady faksem oraz poczta elektroniczną na wskazane numery telefonów, numery faks i adresy. Potwierdzenie powiadomienia należy zachować dla celów dowodowych.</w:t>
      </w:r>
    </w:p>
    <w:p w14:paraId="2EF6BE65"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 przypadku złożenia powiadomienia, o którym mowa w pkt. 6.4 kopia potwierdzenia otrzymania powiadomienia o wystąpieniu wady przesyłana jest przez Gwaranta również faksem oraz pocztą elektroniczną do Zamawiającego.</w:t>
      </w:r>
    </w:p>
    <w:p w14:paraId="4AF2EF0C"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W przypadku Wad stwierdzonych podczas Przeglądu Gwarancyjnego odbywającego się </w:t>
      </w:r>
      <w:r w:rsidR="00465AC4" w:rsidRPr="00826C9D">
        <w:rPr>
          <w:rFonts w:ascii="Arial" w:hAnsi="Arial"/>
        </w:rPr>
        <w:br/>
      </w:r>
      <w:r w:rsidRPr="00826C9D">
        <w:rPr>
          <w:rFonts w:ascii="Arial" w:hAnsi="Arial"/>
        </w:rPr>
        <w:t xml:space="preserve">z udziałem przedstawicieli Gwaranta, przedstawiciel Zamawiającego przekazuje osobiście </w:t>
      </w:r>
      <w:r w:rsidR="00465AC4" w:rsidRPr="00826C9D">
        <w:rPr>
          <w:rFonts w:ascii="Arial" w:hAnsi="Arial"/>
        </w:rPr>
        <w:br/>
      </w:r>
      <w:r w:rsidRPr="00826C9D">
        <w:rPr>
          <w:rFonts w:ascii="Arial" w:hAnsi="Arial"/>
        </w:rPr>
        <w:t>i ustnie powiadomienie o wystąpieniu Wady. Protokół Przeglądu Gwarancyjnego ma moc dokonania powiadomienia o wystąpieniu Wady oraz moc dokonania potwierdzenia przez Gwaranta powiadomienia o wystąpieniu Wady, bez konieczności dokonania przez Zamawiającego dodatkowego powiadomienia o wystąpieniu Wady oraz bez konieczności dokonania przez Gwaranta dodatkowego potwierdzenia powiadomienia o wystąpieniu Wady.</w:t>
      </w:r>
    </w:p>
    <w:p w14:paraId="64C98EB3" w14:textId="52D32EB2"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Zarówno Zamawiający jak i Gwarant sporządzą wykaz osób upoważnionych do kontaktów, przekazywania, przyjmowania powiadomień o Wadach i potwierdzania przyjęcia powiadomienia o Wadzie. Wykazy osób zostaną przekazane przez Strony w terminie 7 dni od daty przekazania dokumentu Gwarancji Jakości Zamawiającemu. O każdej zmianie takich osób, Strony obowiązane są informować się niezwłocznie, pod rygorem uznania ostatnio wskazanej osoby jako upoważnionej w myśl niniejszego postanowienia.</w:t>
      </w:r>
    </w:p>
    <w:p w14:paraId="23746616"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Wszelkie pisma, kierowane będą przez Strony na adresy podane w niniejszym dokumencie Gwarancji Jakości.</w:t>
      </w:r>
    </w:p>
    <w:p w14:paraId="437D138A"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 xml:space="preserve">O zmianach w danych adresowych, o których mowa w punkcie 6.4 niniejszej Części Ogólnej, Strony obowiązane są informować się niezwłocznie, nie później niż w terminie </w:t>
      </w:r>
      <w:r w:rsidR="00465AC4" w:rsidRPr="00826C9D">
        <w:rPr>
          <w:rFonts w:ascii="Arial" w:hAnsi="Arial"/>
        </w:rPr>
        <w:br/>
      </w:r>
      <w:r w:rsidRPr="00826C9D">
        <w:rPr>
          <w:rFonts w:ascii="Arial" w:hAnsi="Arial"/>
        </w:rPr>
        <w:t>7 dni od chwili zaistnienia zmian, pod rygorem uznania wysłania korespondencji pod ostatnio znany adres za skutecznie doręczoną.</w:t>
      </w:r>
    </w:p>
    <w:p w14:paraId="30635BCB" w14:textId="77777777" w:rsidR="003006F5" w:rsidRPr="00826C9D" w:rsidRDefault="003006F5" w:rsidP="00F64263">
      <w:pPr>
        <w:pStyle w:val="Akapitzlist1"/>
        <w:numPr>
          <w:ilvl w:val="1"/>
          <w:numId w:val="1"/>
        </w:numPr>
        <w:spacing w:before="120" w:after="120"/>
        <w:ind w:left="567" w:hanging="567"/>
        <w:contextualSpacing w:val="0"/>
        <w:jc w:val="both"/>
        <w:rPr>
          <w:rFonts w:ascii="Arial" w:hAnsi="Arial"/>
        </w:rPr>
      </w:pPr>
      <w:r w:rsidRPr="00826C9D">
        <w:rPr>
          <w:rFonts w:ascii="Arial" w:hAnsi="Arial"/>
        </w:rPr>
        <w:t>Gwarant jest obowiązany w terminie 7 dni od daty złożenia wniosku o ogłoszenie upadłości powiadomić pisemnie o tym fakcie Zamawiającego.</w:t>
      </w:r>
    </w:p>
    <w:p w14:paraId="6EC5393C" w14:textId="77777777" w:rsidR="003006F5" w:rsidRPr="00826C9D" w:rsidRDefault="003006F5" w:rsidP="00F64263">
      <w:pPr>
        <w:pStyle w:val="Nagwek2"/>
        <w:numPr>
          <w:ilvl w:val="0"/>
          <w:numId w:val="1"/>
        </w:numPr>
        <w:ind w:left="426" w:hanging="426"/>
        <w:rPr>
          <w:rFonts w:cs="Arial"/>
          <w:smallCaps/>
          <w:szCs w:val="20"/>
        </w:rPr>
      </w:pPr>
      <w:bookmarkStart w:id="28" w:name="_Toc198211969"/>
      <w:bookmarkStart w:id="29" w:name="_Toc408483792"/>
      <w:bookmarkStart w:id="30" w:name="_Toc218669625"/>
      <w:r w:rsidRPr="00826C9D">
        <w:rPr>
          <w:rFonts w:cs="Arial"/>
          <w:smallCaps/>
          <w:szCs w:val="20"/>
        </w:rPr>
        <w:lastRenderedPageBreak/>
        <w:t>Kary</w:t>
      </w:r>
      <w:bookmarkEnd w:id="28"/>
      <w:bookmarkEnd w:id="30"/>
    </w:p>
    <w:p w14:paraId="1F319F5F" w14:textId="31A226D2" w:rsidR="003006F5" w:rsidRPr="00826C9D" w:rsidRDefault="003006F5" w:rsidP="00465AC4">
      <w:pPr>
        <w:pStyle w:val="Akapitzlist1"/>
        <w:numPr>
          <w:ilvl w:val="1"/>
          <w:numId w:val="1"/>
        </w:numPr>
        <w:spacing w:before="120" w:after="120"/>
        <w:ind w:left="426" w:hanging="426"/>
        <w:contextualSpacing w:val="0"/>
        <w:jc w:val="both"/>
        <w:rPr>
          <w:rFonts w:ascii="Arial" w:hAnsi="Arial"/>
        </w:rPr>
      </w:pPr>
      <w:r w:rsidRPr="00826C9D">
        <w:rPr>
          <w:rFonts w:ascii="Arial" w:hAnsi="Arial"/>
        </w:rPr>
        <w:t>W przypadku niepotwierdzenia w terminie przyjęcia zgłoszenia od Zamawiającego przez Gwaranta lub niewskazania w terminie przez Gwaranta sposobu/sposobów usunięcia Wady, Zamawiający będzie uprawniony do naliczenia Gwarantowi kary umownej w wysokości 10 000 zł za każdy dzień zwłoki.</w:t>
      </w:r>
    </w:p>
    <w:p w14:paraId="4DBBBAA1" w14:textId="12DB7006" w:rsidR="003006F5" w:rsidRPr="00826C9D" w:rsidRDefault="003006F5" w:rsidP="00465AC4">
      <w:pPr>
        <w:pStyle w:val="Akapitzlist1"/>
        <w:numPr>
          <w:ilvl w:val="1"/>
          <w:numId w:val="1"/>
        </w:numPr>
        <w:spacing w:before="120" w:after="120"/>
        <w:ind w:left="426" w:hanging="426"/>
        <w:contextualSpacing w:val="0"/>
        <w:jc w:val="both"/>
        <w:rPr>
          <w:rFonts w:ascii="Arial" w:hAnsi="Arial"/>
        </w:rPr>
      </w:pPr>
      <w:r w:rsidRPr="00826C9D">
        <w:rPr>
          <w:rFonts w:ascii="Arial" w:hAnsi="Arial"/>
        </w:rPr>
        <w:t>W przypadku nieusunięcia w terminie Wady lub wymiany rzeczy na wolną od Wad przez Gwaranta, Zamawiający będzie uprawniony do naliczenia Gwarantowi kary umownej w wysokości 10 000 zł za każdy dzień zwłoki, z wyłączeniem sytuacji gdy kara za niedotrzymanie któregokolwiek z terminów usunięcia Wad, usterek lub wykonania zaległych prac ujawnionych w Okresie Przeglądów i Rozliczenia Kontraktu, została naliczona zgodnie z Subklauzulą 8.7 Warunków Kontraktu.</w:t>
      </w:r>
    </w:p>
    <w:p w14:paraId="35F39864" w14:textId="0040867E" w:rsidR="003006F5" w:rsidRPr="00826C9D" w:rsidRDefault="003006F5" w:rsidP="00465AC4">
      <w:pPr>
        <w:pStyle w:val="Akapitzlist1"/>
        <w:numPr>
          <w:ilvl w:val="1"/>
          <w:numId w:val="1"/>
        </w:numPr>
        <w:spacing w:before="120" w:after="120"/>
        <w:ind w:left="426" w:hanging="426"/>
        <w:contextualSpacing w:val="0"/>
        <w:jc w:val="both"/>
        <w:rPr>
          <w:rFonts w:ascii="Arial" w:hAnsi="Arial"/>
        </w:rPr>
      </w:pPr>
      <w:r w:rsidRPr="00826C9D">
        <w:rPr>
          <w:rFonts w:ascii="Arial" w:hAnsi="Arial"/>
        </w:rPr>
        <w:t>W przypadku gdy Wada zostanie usunięta przez Gwaranta w sposób nieprawidłowy, niezgodnie ze sztuką budowlaną lub niezgodnie ze sposobem usunięcia jaki był wymagany przez</w:t>
      </w:r>
      <w:r w:rsidR="002A439E" w:rsidRPr="00826C9D">
        <w:rPr>
          <w:rFonts w:ascii="Arial" w:hAnsi="Arial"/>
        </w:rPr>
        <w:t xml:space="preserve"> </w:t>
      </w:r>
      <w:r w:rsidRPr="00826C9D">
        <w:rPr>
          <w:rFonts w:ascii="Arial" w:hAnsi="Arial"/>
        </w:rPr>
        <w:t xml:space="preserve">Zamawiającego, Zamawiający będzie uprawniony do naliczenia Gwarantowi kary umownej </w:t>
      </w:r>
      <w:r w:rsidR="002A439E" w:rsidRPr="00826C9D">
        <w:rPr>
          <w:rFonts w:ascii="Arial" w:hAnsi="Arial"/>
        </w:rPr>
        <w:br/>
      </w:r>
      <w:r w:rsidRPr="00826C9D">
        <w:rPr>
          <w:rFonts w:ascii="Arial" w:hAnsi="Arial"/>
        </w:rPr>
        <w:t>w wysokości 10 000 zł za każdy dzień zwłoki.</w:t>
      </w:r>
    </w:p>
    <w:p w14:paraId="5D2A0F5D" w14:textId="77777777" w:rsidR="003006F5" w:rsidRPr="00826C9D" w:rsidRDefault="003006F5" w:rsidP="00465AC4">
      <w:pPr>
        <w:pStyle w:val="Akapitzlist1"/>
        <w:numPr>
          <w:ilvl w:val="1"/>
          <w:numId w:val="1"/>
        </w:numPr>
        <w:spacing w:before="120" w:after="120"/>
        <w:ind w:left="426" w:hanging="426"/>
        <w:contextualSpacing w:val="0"/>
        <w:jc w:val="both"/>
        <w:rPr>
          <w:rFonts w:ascii="Arial" w:hAnsi="Arial"/>
        </w:rPr>
      </w:pPr>
      <w:r w:rsidRPr="00826C9D">
        <w:rPr>
          <w:rFonts w:ascii="Arial" w:hAnsi="Arial"/>
        </w:rPr>
        <w:t>W przypadku niestawiennictwa Gwaranta w miejscu dokonania Przeglądu Gwarancyjnego uniemożliwiającego Zamawiającemu jego dokonanie, jak również w przypadku niezabezpieczenia dokonania Przeglądu Gwarancyjnego, Zamawiający będzie uprawniony do naliczenia Gwarantowi kary umownej w wysokości 10 000 zł za każdy dzień zwłoki.</w:t>
      </w:r>
    </w:p>
    <w:p w14:paraId="319C573A" w14:textId="06C5B41D" w:rsidR="003006F5" w:rsidRPr="00826C9D" w:rsidRDefault="003006F5" w:rsidP="00465AC4">
      <w:pPr>
        <w:pStyle w:val="Akapitzlist1"/>
        <w:numPr>
          <w:ilvl w:val="1"/>
          <w:numId w:val="1"/>
        </w:numPr>
        <w:spacing w:before="120" w:after="120"/>
        <w:ind w:left="426" w:hanging="426"/>
        <w:contextualSpacing w:val="0"/>
        <w:jc w:val="both"/>
        <w:rPr>
          <w:rFonts w:ascii="Arial" w:hAnsi="Arial"/>
        </w:rPr>
      </w:pPr>
      <w:r w:rsidRPr="00826C9D">
        <w:rPr>
          <w:rFonts w:ascii="Arial" w:hAnsi="Arial"/>
        </w:rPr>
        <w:t xml:space="preserve">W przypadku nieterminowego powiadomienia Zamawiającego przez Gwaranta o dokonaniu zmiany osób upoważnionych do kontaktów, przekazywania, przyjmowania powiadomień </w:t>
      </w:r>
      <w:r w:rsidR="002A439E" w:rsidRPr="00826C9D">
        <w:rPr>
          <w:rFonts w:ascii="Arial" w:hAnsi="Arial"/>
        </w:rPr>
        <w:br/>
      </w:r>
      <w:r w:rsidRPr="00826C9D">
        <w:rPr>
          <w:rFonts w:ascii="Arial" w:hAnsi="Arial"/>
        </w:rPr>
        <w:t xml:space="preserve">o wystąpieniu Wady, Zamawiający będzie uprawniony do naliczenia Gwarantowi kary umownej </w:t>
      </w:r>
      <w:r w:rsidR="002A439E" w:rsidRPr="00826C9D">
        <w:rPr>
          <w:rFonts w:ascii="Arial" w:hAnsi="Arial"/>
        </w:rPr>
        <w:br/>
      </w:r>
      <w:r w:rsidRPr="00826C9D">
        <w:rPr>
          <w:rFonts w:ascii="Arial" w:hAnsi="Arial"/>
        </w:rPr>
        <w:t>w wysokości 10 000 zł za każdy dzień zwłoki.</w:t>
      </w:r>
    </w:p>
    <w:p w14:paraId="55CB09E3" w14:textId="0B5E722E" w:rsidR="003006F5" w:rsidRPr="00826C9D" w:rsidRDefault="003006F5" w:rsidP="00465AC4">
      <w:pPr>
        <w:pStyle w:val="Akapitzlist1"/>
        <w:numPr>
          <w:ilvl w:val="1"/>
          <w:numId w:val="1"/>
        </w:numPr>
        <w:spacing w:before="120" w:after="120"/>
        <w:ind w:left="426" w:hanging="426"/>
        <w:contextualSpacing w:val="0"/>
        <w:jc w:val="both"/>
        <w:rPr>
          <w:rFonts w:ascii="Arial" w:hAnsi="Arial"/>
        </w:rPr>
      </w:pPr>
      <w:r w:rsidRPr="00826C9D">
        <w:rPr>
          <w:rFonts w:ascii="Arial" w:hAnsi="Arial"/>
        </w:rPr>
        <w:t>Niezależnie od naliczenia kar umownych, Zamawiający zastrzega możliwość dochodzenia od Gwaranta odszkodowania uzupełniającego, za nieusunięcie w terminie Wad lub wymianę rzeczy na wolne od Wad, przewyższającego wysokość kar umownych do wysokości rzeczywiście poniesionej szkody, na zasadach ogólnych.</w:t>
      </w:r>
    </w:p>
    <w:p w14:paraId="69471DAF" w14:textId="77777777" w:rsidR="003006F5" w:rsidRPr="00826C9D" w:rsidRDefault="003006F5" w:rsidP="00F64263">
      <w:pPr>
        <w:pStyle w:val="Nagwek2"/>
        <w:numPr>
          <w:ilvl w:val="0"/>
          <w:numId w:val="1"/>
        </w:numPr>
        <w:ind w:left="426" w:hanging="426"/>
        <w:rPr>
          <w:rFonts w:cs="Arial"/>
          <w:smallCaps/>
          <w:szCs w:val="20"/>
        </w:rPr>
      </w:pPr>
      <w:bookmarkStart w:id="31" w:name="_Toc198211970"/>
      <w:bookmarkStart w:id="32" w:name="_Toc218669626"/>
      <w:r w:rsidRPr="00826C9D">
        <w:rPr>
          <w:rFonts w:cs="Arial"/>
          <w:smallCaps/>
          <w:szCs w:val="20"/>
        </w:rPr>
        <w:t>Postanowienia końcowe</w:t>
      </w:r>
      <w:bookmarkEnd w:id="29"/>
      <w:bookmarkEnd w:id="31"/>
      <w:bookmarkEnd w:id="32"/>
    </w:p>
    <w:p w14:paraId="684AA2B5" w14:textId="77777777" w:rsidR="003006F5" w:rsidRPr="00826C9D" w:rsidRDefault="003006F5" w:rsidP="003006F5">
      <w:pPr>
        <w:pStyle w:val="Akapitzlist1"/>
        <w:numPr>
          <w:ilvl w:val="1"/>
          <w:numId w:val="1"/>
        </w:numPr>
        <w:spacing w:before="120" w:after="120"/>
        <w:ind w:left="567" w:hanging="567"/>
        <w:contextualSpacing w:val="0"/>
        <w:jc w:val="both"/>
        <w:rPr>
          <w:rFonts w:ascii="Arial" w:hAnsi="Arial"/>
        </w:rPr>
      </w:pPr>
      <w:r w:rsidRPr="00826C9D">
        <w:rPr>
          <w:rFonts w:ascii="Arial" w:hAnsi="Arial"/>
        </w:rPr>
        <w:t>W sprawach nieuregulowanych niniejszą Gwarancją Jakości zastosowanie mają odpowiednie przepisy prawa polskiego, w szczególności Kodeksu Cywilnego oraz Prawo Zamówień Publicznych.</w:t>
      </w:r>
    </w:p>
    <w:p w14:paraId="1250D552" w14:textId="77777777" w:rsidR="003006F5" w:rsidRPr="00826C9D" w:rsidRDefault="003006F5" w:rsidP="003006F5">
      <w:pPr>
        <w:pStyle w:val="Akapitzlist1"/>
        <w:numPr>
          <w:ilvl w:val="1"/>
          <w:numId w:val="1"/>
        </w:numPr>
        <w:spacing w:before="120" w:after="120"/>
        <w:ind w:left="567" w:hanging="567"/>
        <w:contextualSpacing w:val="0"/>
        <w:jc w:val="both"/>
        <w:rPr>
          <w:rFonts w:ascii="Arial" w:hAnsi="Arial"/>
        </w:rPr>
      </w:pPr>
      <w:r w:rsidRPr="00826C9D">
        <w:rPr>
          <w:rFonts w:ascii="Arial" w:hAnsi="Arial"/>
        </w:rPr>
        <w:t>Niniejsza Gwarancja Jakości stanowi integralną część Umowy.</w:t>
      </w:r>
    </w:p>
    <w:p w14:paraId="42145CEB" w14:textId="77777777" w:rsidR="003006F5" w:rsidRPr="00826C9D" w:rsidRDefault="003006F5" w:rsidP="003006F5">
      <w:pPr>
        <w:pStyle w:val="Akapitzlist1"/>
        <w:numPr>
          <w:ilvl w:val="1"/>
          <w:numId w:val="1"/>
        </w:numPr>
        <w:spacing w:before="120" w:after="120"/>
        <w:ind w:left="567" w:hanging="567"/>
        <w:contextualSpacing w:val="0"/>
        <w:jc w:val="both"/>
        <w:rPr>
          <w:rFonts w:ascii="Arial" w:hAnsi="Arial"/>
        </w:rPr>
      </w:pPr>
      <w:r w:rsidRPr="00826C9D">
        <w:rPr>
          <w:rFonts w:ascii="Arial" w:hAnsi="Arial"/>
        </w:rPr>
        <w:t>Ewentualne zmiany do Gwarancji Jakości wymagają uprzedniej zgody Zamawiającego wyrażonej w formie pisemnej pod rygorem nieważności.</w:t>
      </w:r>
    </w:p>
    <w:p w14:paraId="223D6AB4" w14:textId="77777777" w:rsidR="003006F5" w:rsidRPr="00826C9D" w:rsidRDefault="003006F5" w:rsidP="003006F5">
      <w:pPr>
        <w:spacing w:before="120" w:after="120"/>
        <w:jc w:val="both"/>
        <w:rPr>
          <w:rFonts w:ascii="Arial" w:hAnsi="Arial"/>
          <w:b/>
        </w:rPr>
      </w:pPr>
    </w:p>
    <w:p w14:paraId="2933523C" w14:textId="77777777" w:rsidR="003006F5" w:rsidRPr="00826C9D" w:rsidRDefault="003006F5" w:rsidP="003006F5">
      <w:pPr>
        <w:spacing w:before="120" w:after="120" w:line="480" w:lineRule="auto"/>
        <w:jc w:val="both"/>
        <w:rPr>
          <w:rFonts w:ascii="Arial" w:hAnsi="Arial"/>
          <w:b/>
        </w:rPr>
      </w:pPr>
      <w:r w:rsidRPr="00826C9D">
        <w:rPr>
          <w:rFonts w:ascii="Arial" w:hAnsi="Arial"/>
          <w:b/>
        </w:rPr>
        <w:t>PODPISY I PIECZĘCIE</w:t>
      </w:r>
    </w:p>
    <w:p w14:paraId="30E68F48" w14:textId="77777777" w:rsidR="003006F5" w:rsidRPr="00826C9D" w:rsidRDefault="003006F5" w:rsidP="00F64263">
      <w:pPr>
        <w:spacing w:before="120" w:after="120" w:line="480" w:lineRule="auto"/>
        <w:ind w:firstLine="708"/>
        <w:jc w:val="both"/>
        <w:rPr>
          <w:rFonts w:ascii="Arial" w:hAnsi="Arial"/>
        </w:rPr>
      </w:pPr>
      <w:r w:rsidRPr="00826C9D">
        <w:rPr>
          <w:rFonts w:ascii="Arial" w:hAnsi="Arial"/>
          <w:b/>
        </w:rPr>
        <w:t xml:space="preserve">W imieniu Gwaranta:                              </w:t>
      </w:r>
      <w:r w:rsidR="00F64263" w:rsidRPr="00826C9D">
        <w:rPr>
          <w:rFonts w:ascii="Arial" w:hAnsi="Arial"/>
          <w:b/>
        </w:rPr>
        <w:tab/>
      </w:r>
      <w:r w:rsidRPr="00826C9D">
        <w:rPr>
          <w:rFonts w:ascii="Arial" w:hAnsi="Arial"/>
          <w:b/>
        </w:rPr>
        <w:t xml:space="preserve">           W imieniu Zamawiającego:</w:t>
      </w:r>
      <w:r w:rsidRPr="00826C9D">
        <w:rPr>
          <w:rFonts w:ascii="Arial" w:hAnsi="Arial"/>
        </w:rPr>
        <w:t> </w:t>
      </w:r>
    </w:p>
    <w:p w14:paraId="18137B93" w14:textId="77777777" w:rsidR="003006F5" w:rsidRPr="00826C9D" w:rsidRDefault="003006F5" w:rsidP="003006F5">
      <w:pPr>
        <w:spacing w:before="120" w:after="120"/>
        <w:jc w:val="both"/>
        <w:rPr>
          <w:rFonts w:ascii="Arial" w:hAnsi="Arial"/>
        </w:rPr>
      </w:pPr>
    </w:p>
    <w:p w14:paraId="3E7875A4" w14:textId="77777777" w:rsidR="003006F5" w:rsidRPr="00826C9D" w:rsidRDefault="003006F5" w:rsidP="00C0119D">
      <w:pPr>
        <w:pStyle w:val="Nagwek1"/>
        <w:numPr>
          <w:ilvl w:val="0"/>
          <w:numId w:val="22"/>
        </w:numPr>
        <w:ind w:left="426" w:hanging="426"/>
        <w:rPr>
          <w:rFonts w:cs="Arial"/>
          <w:szCs w:val="20"/>
        </w:rPr>
      </w:pPr>
      <w:r w:rsidRPr="00826C9D">
        <w:rPr>
          <w:rFonts w:cs="Arial"/>
          <w:szCs w:val="20"/>
        </w:rPr>
        <w:br w:type="page"/>
      </w:r>
      <w:bookmarkStart w:id="33" w:name="_Toc408483500"/>
      <w:bookmarkStart w:id="34" w:name="_Toc408483793"/>
      <w:bookmarkStart w:id="35" w:name="_Toc198211971"/>
      <w:bookmarkStart w:id="36" w:name="_Toc218669627"/>
      <w:r w:rsidRPr="00826C9D">
        <w:rPr>
          <w:rFonts w:cs="Arial"/>
          <w:szCs w:val="20"/>
        </w:rPr>
        <w:lastRenderedPageBreak/>
        <w:t>CZĘŚĆ SZCZEGÓŁOWA</w:t>
      </w:r>
      <w:bookmarkEnd w:id="33"/>
      <w:bookmarkEnd w:id="34"/>
      <w:bookmarkEnd w:id="35"/>
      <w:bookmarkEnd w:id="36"/>
      <w:r w:rsidRPr="00826C9D">
        <w:rPr>
          <w:rFonts w:cs="Arial"/>
          <w:szCs w:val="20"/>
        </w:rPr>
        <w:t xml:space="preserve"> </w:t>
      </w:r>
    </w:p>
    <w:p w14:paraId="63D8381E" w14:textId="5E284758" w:rsidR="00826C9D" w:rsidRPr="00826C9D" w:rsidRDefault="00826C9D" w:rsidP="00826C9D">
      <w:pPr>
        <w:pStyle w:val="Nagwek2"/>
        <w:numPr>
          <w:ilvl w:val="0"/>
          <w:numId w:val="36"/>
        </w:numPr>
        <w:rPr>
          <w:rFonts w:cs="Arial"/>
          <w:smallCaps/>
          <w:szCs w:val="20"/>
        </w:rPr>
      </w:pPr>
      <w:bookmarkStart w:id="37" w:name="_Toc218669628"/>
      <w:r w:rsidRPr="00826C9D">
        <w:rPr>
          <w:rFonts w:cs="Arial"/>
          <w:smallCaps/>
          <w:szCs w:val="20"/>
        </w:rPr>
        <w:t>Postanowienia ogólne</w:t>
      </w:r>
      <w:bookmarkEnd w:id="37"/>
    </w:p>
    <w:p w14:paraId="4D98BC5E" w14:textId="414EFC0B" w:rsidR="003006F5" w:rsidRPr="00826C9D" w:rsidRDefault="003006F5" w:rsidP="003006F5">
      <w:pPr>
        <w:spacing w:before="120" w:after="120"/>
        <w:jc w:val="both"/>
        <w:rPr>
          <w:rFonts w:ascii="Arial" w:hAnsi="Arial"/>
        </w:rPr>
      </w:pPr>
      <w:r w:rsidRPr="00826C9D">
        <w:rPr>
          <w:rFonts w:ascii="Arial" w:hAnsi="Arial"/>
        </w:rPr>
        <w:t>Część Szczegółowa obejmuje elementy Przedmiotu Umowy wskazane w poniższych punktach. Wykonawca zobowiązuje się, że poszczególne wymienione elementy zachowają wskazane poniżej cechy funkcjonalne i wskaźniki, z uwzględnieniem określonego w niniejszej Części Gwarancji Jakości stopnia zużycia, wskazanego dla poszczególnych elementów Przedmiotu Umowy. Opisane poniżej cechy funkcjonalne i wskaźniki będą ustalane w oparciu o metodologię opisaną w niniejszej Części.</w:t>
      </w:r>
    </w:p>
    <w:p w14:paraId="68805B52" w14:textId="6CB52929" w:rsidR="003006F5" w:rsidRPr="00826C9D" w:rsidRDefault="003006F5" w:rsidP="00826C9D">
      <w:pPr>
        <w:pStyle w:val="Nagwek2"/>
        <w:numPr>
          <w:ilvl w:val="0"/>
          <w:numId w:val="36"/>
        </w:numPr>
        <w:rPr>
          <w:rFonts w:cs="Arial"/>
          <w:smallCaps/>
          <w:szCs w:val="20"/>
        </w:rPr>
      </w:pPr>
      <w:bookmarkStart w:id="38" w:name="_Toc218669629"/>
      <w:r w:rsidRPr="00826C9D">
        <w:rPr>
          <w:rFonts w:cs="Arial"/>
        </w:rPr>
        <w:t>Zakres gwarancji dla elementów wymienionych w Części Szczegółowej:</w:t>
      </w:r>
      <w:bookmarkEnd w:id="38"/>
    </w:p>
    <w:p w14:paraId="653B0777" w14:textId="5ECACEBA" w:rsidR="003006F5" w:rsidRPr="00826C9D" w:rsidRDefault="003006F5" w:rsidP="00826C9D">
      <w:pPr>
        <w:pStyle w:val="Nagwek3"/>
        <w:numPr>
          <w:ilvl w:val="0"/>
          <w:numId w:val="38"/>
        </w:numPr>
      </w:pPr>
      <w:bookmarkStart w:id="39" w:name="_Toc218669630"/>
      <w:r w:rsidRPr="00826C9D">
        <w:t>Nawierzchnie podatne i półsztywne</w:t>
      </w:r>
      <w:bookmarkEnd w:id="39"/>
      <w:r w:rsidRPr="00826C9D">
        <w:t xml:space="preserve"> </w:t>
      </w:r>
    </w:p>
    <w:p w14:paraId="0D06487E" w14:textId="47316418" w:rsidR="00926E01" w:rsidRPr="00826C9D" w:rsidRDefault="003006F5" w:rsidP="00C0119D">
      <w:pPr>
        <w:pStyle w:val="Akapitzlist1"/>
        <w:numPr>
          <w:ilvl w:val="0"/>
          <w:numId w:val="24"/>
        </w:numPr>
        <w:spacing w:before="120" w:after="120"/>
        <w:contextualSpacing w:val="0"/>
        <w:jc w:val="both"/>
        <w:rPr>
          <w:rFonts w:ascii="Arial" w:hAnsi="Arial"/>
        </w:rPr>
      </w:pPr>
      <w:r w:rsidRPr="00826C9D">
        <w:rPr>
          <w:rFonts w:ascii="Arial" w:hAnsi="Arial"/>
        </w:rPr>
        <w:t xml:space="preserve">Warstwa ścieralna – </w:t>
      </w:r>
      <w:r w:rsidR="00650008">
        <w:rPr>
          <w:rFonts w:ascii="Arial" w:hAnsi="Arial"/>
        </w:rPr>
        <w:t xml:space="preserve">… </w:t>
      </w:r>
      <w:r w:rsidR="005A2D97" w:rsidRPr="00826C9D">
        <w:rPr>
          <w:rFonts w:ascii="Arial" w:hAnsi="Arial"/>
        </w:rPr>
        <w:t>[</w:t>
      </w:r>
      <w:r w:rsidR="005A2D97" w:rsidRPr="00650008">
        <w:rPr>
          <w:rFonts w:ascii="Arial" w:hAnsi="Arial"/>
          <w:b/>
          <w:i/>
        </w:rPr>
        <w:t>minimum</w:t>
      </w:r>
      <w:r w:rsidR="005A2D97" w:rsidRPr="00650008">
        <w:rPr>
          <w:rFonts w:ascii="Arial" w:hAnsi="Arial"/>
          <w:i/>
        </w:rPr>
        <w:t xml:space="preserve"> </w:t>
      </w:r>
      <w:r w:rsidR="005A2D97">
        <w:rPr>
          <w:rFonts w:ascii="Arial" w:hAnsi="Arial"/>
          <w:b/>
          <w:i/>
        </w:rPr>
        <w:t>60</w:t>
      </w:r>
      <w:r w:rsidR="005A2D97" w:rsidRPr="00826C9D">
        <w:rPr>
          <w:rFonts w:ascii="Arial" w:hAnsi="Arial"/>
        </w:rPr>
        <w:t xml:space="preserve">] </w:t>
      </w:r>
      <w:r w:rsidR="005A2D97" w:rsidRPr="00826C9D">
        <w:rPr>
          <w:rFonts w:ascii="Arial" w:hAnsi="Arial"/>
          <w:b/>
        </w:rPr>
        <w:t>miesięcy</w:t>
      </w:r>
      <w:r w:rsidR="005A2D97" w:rsidRPr="00826C9D">
        <w:rPr>
          <w:rFonts w:ascii="Arial" w:hAnsi="Arial"/>
        </w:rPr>
        <w:t xml:space="preserve"> gwarancji zgodnie z Ofertą Wykonawcy</w:t>
      </w:r>
    </w:p>
    <w:p w14:paraId="02738283" w14:textId="725DA7F0" w:rsidR="00926E01" w:rsidRPr="00826C9D" w:rsidRDefault="003006F5" w:rsidP="00C0119D">
      <w:pPr>
        <w:pStyle w:val="Akapitzlist1"/>
        <w:numPr>
          <w:ilvl w:val="0"/>
          <w:numId w:val="24"/>
        </w:numPr>
        <w:spacing w:before="120" w:after="120"/>
        <w:contextualSpacing w:val="0"/>
        <w:jc w:val="both"/>
        <w:rPr>
          <w:rFonts w:ascii="Arial" w:hAnsi="Arial"/>
        </w:rPr>
      </w:pPr>
      <w:r w:rsidRPr="00826C9D">
        <w:rPr>
          <w:rFonts w:ascii="Arial" w:hAnsi="Arial"/>
        </w:rPr>
        <w:t>Pozostałe warstwy konstrukcji nawierzchni –</w:t>
      </w:r>
      <w:r w:rsidR="00650008">
        <w:rPr>
          <w:rFonts w:ascii="Arial" w:hAnsi="Arial"/>
        </w:rPr>
        <w:t xml:space="preserve"> …</w:t>
      </w:r>
      <w:r w:rsidR="005A2D97">
        <w:rPr>
          <w:rFonts w:ascii="Arial" w:hAnsi="Arial"/>
        </w:rPr>
        <w:t xml:space="preserve"> </w:t>
      </w:r>
      <w:r w:rsidR="005A2D97" w:rsidRPr="00826C9D">
        <w:rPr>
          <w:rFonts w:ascii="Arial" w:hAnsi="Arial"/>
        </w:rPr>
        <w:t>[</w:t>
      </w:r>
      <w:r w:rsidR="005A2D97" w:rsidRPr="00650008">
        <w:rPr>
          <w:rFonts w:ascii="Arial" w:hAnsi="Arial"/>
          <w:b/>
          <w:i/>
        </w:rPr>
        <w:t>minimum</w:t>
      </w:r>
      <w:r w:rsidR="005A2D97" w:rsidRPr="00650008">
        <w:rPr>
          <w:rFonts w:ascii="Arial" w:hAnsi="Arial"/>
          <w:i/>
        </w:rPr>
        <w:t xml:space="preserve"> </w:t>
      </w:r>
      <w:r w:rsidR="005A2D97">
        <w:rPr>
          <w:rFonts w:ascii="Arial" w:hAnsi="Arial"/>
          <w:b/>
          <w:i/>
        </w:rPr>
        <w:t>60</w:t>
      </w:r>
      <w:r w:rsidR="005A2D97" w:rsidRPr="00826C9D">
        <w:rPr>
          <w:rFonts w:ascii="Arial" w:hAnsi="Arial"/>
        </w:rPr>
        <w:t xml:space="preserve">] </w:t>
      </w:r>
      <w:r w:rsidR="005A2D97" w:rsidRPr="00826C9D">
        <w:rPr>
          <w:rFonts w:ascii="Arial" w:hAnsi="Arial"/>
          <w:b/>
        </w:rPr>
        <w:t>miesięcy</w:t>
      </w:r>
      <w:r w:rsidR="005A2D97" w:rsidRPr="00826C9D">
        <w:rPr>
          <w:rFonts w:ascii="Arial" w:hAnsi="Arial"/>
        </w:rPr>
        <w:t xml:space="preserve"> gwarancji zgodnie z Ofertą Wykonawcy</w:t>
      </w:r>
      <w:r w:rsidRPr="00826C9D">
        <w:rPr>
          <w:rFonts w:ascii="Arial" w:hAnsi="Arial"/>
        </w:rPr>
        <w:t>.</w:t>
      </w:r>
    </w:p>
    <w:p w14:paraId="39FF062E" w14:textId="3766EBDE" w:rsidR="003006F5" w:rsidRPr="00826C9D" w:rsidRDefault="003006F5" w:rsidP="00C0119D">
      <w:pPr>
        <w:pStyle w:val="Akapitzlist1"/>
        <w:numPr>
          <w:ilvl w:val="0"/>
          <w:numId w:val="24"/>
        </w:numPr>
        <w:spacing w:before="120" w:after="120"/>
        <w:contextualSpacing w:val="0"/>
        <w:jc w:val="both"/>
        <w:rPr>
          <w:rFonts w:ascii="Arial" w:hAnsi="Arial"/>
        </w:rPr>
      </w:pPr>
      <w:r w:rsidRPr="00826C9D">
        <w:rPr>
          <w:rFonts w:ascii="Arial" w:hAnsi="Arial"/>
        </w:rPr>
        <w:t xml:space="preserve">Parametry nawierzchni </w:t>
      </w:r>
    </w:p>
    <w:p w14:paraId="079CE117" w14:textId="77777777" w:rsidR="003006F5" w:rsidRPr="00826C9D" w:rsidRDefault="003006F5" w:rsidP="00C0119D">
      <w:pPr>
        <w:pStyle w:val="Akapitzlist1"/>
        <w:numPr>
          <w:ilvl w:val="0"/>
          <w:numId w:val="25"/>
        </w:numPr>
        <w:spacing w:before="120" w:after="120"/>
        <w:contextualSpacing w:val="0"/>
        <w:jc w:val="both"/>
        <w:rPr>
          <w:rFonts w:ascii="Arial" w:hAnsi="Arial"/>
        </w:rPr>
      </w:pPr>
      <w:r w:rsidRPr="00826C9D">
        <w:rPr>
          <w:rFonts w:ascii="Arial" w:hAnsi="Arial"/>
        </w:rPr>
        <w:t>Szorstkość nawierzchni (miarodajny współczynnik tarcia)</w:t>
      </w:r>
    </w:p>
    <w:p w14:paraId="2873E2AF" w14:textId="77777777" w:rsidR="003006F5" w:rsidRPr="00826C9D" w:rsidRDefault="003006F5" w:rsidP="00F64263">
      <w:pPr>
        <w:spacing w:before="120" w:after="0"/>
        <w:jc w:val="both"/>
        <w:rPr>
          <w:rFonts w:ascii="Arial" w:hAnsi="Arial"/>
          <w:i/>
          <w:iCs/>
        </w:rPr>
      </w:pPr>
      <w:r w:rsidRPr="00826C9D">
        <w:rPr>
          <w:rFonts w:ascii="Arial" w:hAnsi="Arial"/>
          <w:i/>
          <w:iCs/>
        </w:rPr>
        <w:t>Tabela 2.  Wymagane wartości miarodajnego współczynnika tarcia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2"/>
        <w:gridCol w:w="4661"/>
        <w:gridCol w:w="2881"/>
      </w:tblGrid>
      <w:tr w:rsidR="003006F5" w:rsidRPr="00826C9D" w14:paraId="77128E5A" w14:textId="77777777" w:rsidTr="00F53B90">
        <w:tc>
          <w:tcPr>
            <w:tcW w:w="993" w:type="dxa"/>
            <w:vAlign w:val="center"/>
          </w:tcPr>
          <w:p w14:paraId="00CC1750" w14:textId="77777777" w:rsidR="003006F5" w:rsidRPr="00826C9D" w:rsidRDefault="003006F5" w:rsidP="00F53B90">
            <w:pPr>
              <w:spacing w:before="120" w:after="120"/>
              <w:jc w:val="center"/>
              <w:rPr>
                <w:rFonts w:ascii="Arial" w:hAnsi="Arial"/>
              </w:rPr>
            </w:pPr>
            <w:r w:rsidRPr="00826C9D">
              <w:rPr>
                <w:rFonts w:ascii="Arial" w:hAnsi="Arial"/>
              </w:rPr>
              <w:t>Klasa drogi</w:t>
            </w:r>
          </w:p>
        </w:tc>
        <w:tc>
          <w:tcPr>
            <w:tcW w:w="4661" w:type="dxa"/>
            <w:vAlign w:val="center"/>
          </w:tcPr>
          <w:p w14:paraId="30A71355" w14:textId="77777777" w:rsidR="003006F5" w:rsidRPr="00826C9D" w:rsidRDefault="003006F5" w:rsidP="00F53B90">
            <w:pPr>
              <w:spacing w:before="120" w:after="120"/>
              <w:jc w:val="center"/>
              <w:rPr>
                <w:rFonts w:ascii="Arial" w:hAnsi="Arial"/>
              </w:rPr>
            </w:pPr>
            <w:r w:rsidRPr="00826C9D">
              <w:rPr>
                <w:rFonts w:ascii="Arial" w:hAnsi="Arial"/>
              </w:rPr>
              <w:t>Element nawierzchni</w:t>
            </w:r>
          </w:p>
        </w:tc>
        <w:tc>
          <w:tcPr>
            <w:tcW w:w="2881" w:type="dxa"/>
            <w:vAlign w:val="center"/>
          </w:tcPr>
          <w:p w14:paraId="149D715C" w14:textId="77777777" w:rsidR="003006F5" w:rsidRPr="00826C9D" w:rsidRDefault="003006F5" w:rsidP="00F53B90">
            <w:pPr>
              <w:spacing w:before="120" w:after="120"/>
              <w:jc w:val="center"/>
              <w:rPr>
                <w:rFonts w:ascii="Arial" w:hAnsi="Arial"/>
              </w:rPr>
            </w:pPr>
            <w:r w:rsidRPr="00826C9D">
              <w:rPr>
                <w:rFonts w:ascii="Arial" w:hAnsi="Arial"/>
              </w:rPr>
              <w:t>Miarodajny współczynnik tarcia*</w:t>
            </w:r>
          </w:p>
        </w:tc>
      </w:tr>
      <w:tr w:rsidR="003006F5" w:rsidRPr="00826C9D" w14:paraId="4D37B0DF" w14:textId="77777777" w:rsidTr="00F64263">
        <w:tc>
          <w:tcPr>
            <w:tcW w:w="993" w:type="dxa"/>
            <w:vAlign w:val="center"/>
          </w:tcPr>
          <w:p w14:paraId="1DEC1689" w14:textId="393A6650" w:rsidR="003006F5" w:rsidRPr="00826C9D" w:rsidRDefault="00046065" w:rsidP="00F64263">
            <w:pPr>
              <w:spacing w:before="120" w:after="120"/>
              <w:jc w:val="center"/>
              <w:rPr>
                <w:rFonts w:ascii="Arial" w:hAnsi="Arial"/>
              </w:rPr>
            </w:pPr>
            <w:r>
              <w:rPr>
                <w:rFonts w:ascii="Arial" w:hAnsi="Arial"/>
              </w:rPr>
              <w:t>wszystkie</w:t>
            </w:r>
          </w:p>
        </w:tc>
        <w:tc>
          <w:tcPr>
            <w:tcW w:w="4661" w:type="dxa"/>
            <w:vAlign w:val="center"/>
          </w:tcPr>
          <w:p w14:paraId="05293CFF" w14:textId="77777777" w:rsidR="003006F5" w:rsidRPr="00826C9D" w:rsidRDefault="003006F5" w:rsidP="00F53B90">
            <w:pPr>
              <w:spacing w:before="120" w:after="120"/>
              <w:rPr>
                <w:rFonts w:ascii="Arial" w:hAnsi="Arial"/>
              </w:rPr>
            </w:pPr>
            <w:r w:rsidRPr="00826C9D">
              <w:rPr>
                <w:rFonts w:ascii="Arial" w:hAnsi="Arial"/>
              </w:rPr>
              <w:t>Pasy ruchu, pasy dodatkowe, utwardzone pobocza</w:t>
            </w:r>
          </w:p>
        </w:tc>
        <w:tc>
          <w:tcPr>
            <w:tcW w:w="2881" w:type="dxa"/>
            <w:vAlign w:val="center"/>
          </w:tcPr>
          <w:p w14:paraId="1A15B118" w14:textId="77777777" w:rsidR="003006F5" w:rsidRPr="00826C9D" w:rsidRDefault="003006F5" w:rsidP="00F53B90">
            <w:pPr>
              <w:spacing w:before="120" w:after="120"/>
              <w:jc w:val="center"/>
              <w:rPr>
                <w:rFonts w:ascii="Arial" w:hAnsi="Arial"/>
              </w:rPr>
            </w:pPr>
            <w:r w:rsidRPr="00826C9D">
              <w:rPr>
                <w:rFonts w:ascii="Arial" w:hAnsi="Arial"/>
              </w:rPr>
              <w:t>≥ 0,36</w:t>
            </w:r>
          </w:p>
        </w:tc>
      </w:tr>
    </w:tbl>
    <w:p w14:paraId="6C893BF7" w14:textId="77777777" w:rsidR="003006F5" w:rsidRPr="00826C9D" w:rsidRDefault="003006F5" w:rsidP="003006F5">
      <w:pPr>
        <w:tabs>
          <w:tab w:val="left" w:pos="426"/>
        </w:tabs>
        <w:spacing w:before="120" w:after="120"/>
        <w:ind w:left="426" w:hanging="426"/>
        <w:jc w:val="both"/>
        <w:rPr>
          <w:rFonts w:ascii="Arial" w:hAnsi="Arial"/>
        </w:rPr>
      </w:pPr>
      <w:r w:rsidRPr="00826C9D">
        <w:rPr>
          <w:rFonts w:ascii="Arial" w:hAnsi="Arial"/>
        </w:rPr>
        <w:t>*</w:t>
      </w:r>
      <w:r w:rsidRPr="00826C9D">
        <w:rPr>
          <w:rFonts w:ascii="Arial" w:hAnsi="Arial"/>
        </w:rPr>
        <w:tab/>
        <w:t>podane wartości odnoszą się do miarodajnego współczynnika tarcia</w:t>
      </w:r>
      <w:r w:rsidRPr="00826C9D">
        <w:rPr>
          <w:rFonts w:ascii="Arial" w:hAnsi="Arial"/>
          <w:vertAlign w:val="superscript"/>
        </w:rPr>
        <w:t>1)</w:t>
      </w:r>
      <w:r w:rsidRPr="00826C9D">
        <w:rPr>
          <w:rFonts w:ascii="Arial" w:hAnsi="Arial"/>
        </w:rPr>
        <w:t xml:space="preserve"> pomierzonego oponą PIARC 165/15R przy prędkości </w:t>
      </w:r>
      <w:smartTag w:uri="urn:schemas-microsoft-com:office:smarttags" w:element="metricconverter">
        <w:smartTagPr>
          <w:attr w:name="ProductID" w:val="60 km/h"/>
        </w:smartTagPr>
        <w:r w:rsidRPr="00826C9D">
          <w:rPr>
            <w:rFonts w:ascii="Arial" w:hAnsi="Arial"/>
          </w:rPr>
          <w:t>60 km/h</w:t>
        </w:r>
      </w:smartTag>
      <w:r w:rsidRPr="00826C9D">
        <w:rPr>
          <w:rFonts w:ascii="Arial" w:hAnsi="Arial"/>
        </w:rPr>
        <w:t>.</w:t>
      </w:r>
    </w:p>
    <w:p w14:paraId="67CE7494" w14:textId="77777777" w:rsidR="003006F5" w:rsidRPr="00826C9D" w:rsidRDefault="003006F5" w:rsidP="003006F5">
      <w:pPr>
        <w:tabs>
          <w:tab w:val="left" w:pos="426"/>
        </w:tabs>
        <w:spacing w:before="120" w:after="120"/>
        <w:ind w:left="426" w:hanging="426"/>
        <w:jc w:val="both"/>
        <w:rPr>
          <w:rFonts w:ascii="Arial" w:hAnsi="Arial"/>
        </w:rPr>
      </w:pPr>
      <w:r w:rsidRPr="00826C9D">
        <w:rPr>
          <w:rFonts w:ascii="Arial" w:hAnsi="Arial"/>
          <w:vertAlign w:val="superscript"/>
        </w:rPr>
        <w:t>1)</w:t>
      </w:r>
      <w:r w:rsidRPr="00826C9D">
        <w:rPr>
          <w:rFonts w:ascii="Arial" w:hAnsi="Arial"/>
        </w:rPr>
        <w:tab/>
        <w:t xml:space="preserve">miarodajny współczynnik tarcia </w:t>
      </w:r>
      <w:proofErr w:type="spellStart"/>
      <w:r w:rsidRPr="00826C9D">
        <w:rPr>
          <w:rFonts w:ascii="Arial" w:hAnsi="Arial"/>
        </w:rPr>
        <w:t>Dm</w:t>
      </w:r>
      <w:proofErr w:type="spellEnd"/>
      <w:r w:rsidRPr="00826C9D">
        <w:rPr>
          <w:rFonts w:ascii="Arial" w:hAnsi="Arial"/>
        </w:rPr>
        <w:t xml:space="preserve"> – różnica wartości średniej E(m) i odchylenia standardowego D: </w:t>
      </w:r>
      <w:proofErr w:type="spellStart"/>
      <w:r w:rsidRPr="00826C9D">
        <w:rPr>
          <w:rFonts w:ascii="Arial" w:hAnsi="Arial"/>
        </w:rPr>
        <w:t>Dm</w:t>
      </w:r>
      <w:proofErr w:type="spellEnd"/>
      <w:r w:rsidRPr="00826C9D">
        <w:rPr>
          <w:rFonts w:ascii="Arial" w:hAnsi="Arial"/>
        </w:rPr>
        <w:t xml:space="preserve"> = E(m) - D. Wyniki podaje się z dokładnością do dwóch miejsc po przecinku. Wartość miarodajnego współczynnik tarcia nie może być mniejsza od minimalnej wartości wyniku pomiaru na odcinku 50-cio metrowym.</w:t>
      </w:r>
    </w:p>
    <w:p w14:paraId="765B49B9" w14:textId="77777777" w:rsidR="003006F5" w:rsidRPr="00826C9D" w:rsidRDefault="003006F5" w:rsidP="003006F5">
      <w:pPr>
        <w:spacing w:before="120" w:after="120"/>
        <w:jc w:val="both"/>
        <w:rPr>
          <w:rFonts w:ascii="Arial" w:hAnsi="Arial"/>
        </w:rPr>
      </w:pPr>
      <w:r w:rsidRPr="00826C9D">
        <w:rPr>
          <w:rFonts w:ascii="Arial" w:hAnsi="Arial"/>
        </w:rPr>
        <w:t>Miarodajny współczynnik tarcia wyznacza się dla kilometrowych odcinków dróg.</w:t>
      </w:r>
    </w:p>
    <w:p w14:paraId="272836FE" w14:textId="77777777" w:rsidR="003006F5" w:rsidRPr="00826C9D" w:rsidRDefault="003006F5" w:rsidP="003006F5">
      <w:pPr>
        <w:spacing w:before="120" w:after="120"/>
        <w:jc w:val="both"/>
        <w:rPr>
          <w:rFonts w:ascii="Arial" w:hAnsi="Arial"/>
        </w:rPr>
      </w:pPr>
      <w:r w:rsidRPr="00826C9D">
        <w:rPr>
          <w:rFonts w:ascii="Arial" w:hAnsi="Arial"/>
        </w:rPr>
        <w:t xml:space="preserve">W przypadkach szczególnych, jak początek i koniec drogi, wartość miarodajną  wyznacza się dla odcinków o długości 500 ÷ </w:t>
      </w:r>
      <w:smartTag w:uri="urn:schemas-microsoft-com:office:smarttags" w:element="metricconverter">
        <w:smartTagPr>
          <w:attr w:name="ProductID" w:val="1499 m"/>
        </w:smartTagPr>
        <w:r w:rsidRPr="00826C9D">
          <w:rPr>
            <w:rFonts w:ascii="Arial" w:hAnsi="Arial"/>
          </w:rPr>
          <w:t>1499 m</w:t>
        </w:r>
      </w:smartTag>
      <w:r w:rsidRPr="00826C9D">
        <w:rPr>
          <w:rFonts w:ascii="Arial" w:hAnsi="Arial"/>
        </w:rPr>
        <w:t xml:space="preserve">. </w:t>
      </w:r>
    </w:p>
    <w:p w14:paraId="4CD2809F" w14:textId="77777777" w:rsidR="003006F5" w:rsidRPr="00826C9D" w:rsidRDefault="003006F5" w:rsidP="003006F5">
      <w:pPr>
        <w:spacing w:before="120" w:after="120"/>
        <w:jc w:val="both"/>
        <w:rPr>
          <w:rFonts w:ascii="Arial" w:hAnsi="Arial"/>
        </w:rPr>
      </w:pPr>
      <w:r w:rsidRPr="00826C9D">
        <w:rPr>
          <w:rFonts w:ascii="Arial" w:hAnsi="Arial"/>
        </w:rPr>
        <w:t>W tabeli 2 podano minimalne dopuszczalne wartości wskaźnika, poniżej których należy zastosować program naprawczy.</w:t>
      </w:r>
    </w:p>
    <w:p w14:paraId="429D1F24" w14:textId="77777777" w:rsidR="003006F5" w:rsidRPr="00826C9D" w:rsidRDefault="003006F5" w:rsidP="003006F5">
      <w:pPr>
        <w:spacing w:before="120" w:after="120"/>
        <w:jc w:val="both"/>
        <w:rPr>
          <w:rFonts w:ascii="Arial" w:hAnsi="Arial"/>
        </w:rPr>
      </w:pPr>
      <w:r w:rsidRPr="00826C9D">
        <w:rPr>
          <w:rFonts w:ascii="Arial" w:hAnsi="Arial"/>
        </w:rPr>
        <w:t xml:space="preserve">Pomiar współczynnika tarcia powinien być określony na mokrej nawierzchni przy całkowitym poślizgu opony testowej. Pomiar wykonuje się w śladzie prawego lub lewego koła nie rzadziej niż co </w:t>
      </w:r>
      <w:smartTag w:uri="urn:schemas-microsoft-com:office:smarttags" w:element="metricconverter">
        <w:smartTagPr>
          <w:attr w:name="ProductID" w:val="50 m"/>
        </w:smartTagPr>
        <w:r w:rsidRPr="00826C9D">
          <w:rPr>
            <w:rFonts w:ascii="Arial" w:hAnsi="Arial"/>
          </w:rPr>
          <w:t>50 m</w:t>
        </w:r>
      </w:smartTag>
      <w:r w:rsidRPr="00826C9D">
        <w:rPr>
          <w:rFonts w:ascii="Arial" w:hAnsi="Arial"/>
        </w:rPr>
        <w:t xml:space="preserve"> na nawierzchni zwilżanej wodą w ilości 0,5 l/m2, przy 100% poślizgu opony testowej rowkowanej (</w:t>
      </w:r>
      <w:proofErr w:type="spellStart"/>
      <w:r w:rsidRPr="00826C9D">
        <w:rPr>
          <w:rFonts w:ascii="Arial" w:hAnsi="Arial"/>
        </w:rPr>
        <w:t>ribbed</w:t>
      </w:r>
      <w:proofErr w:type="spellEnd"/>
      <w:r w:rsidRPr="00826C9D">
        <w:rPr>
          <w:rFonts w:ascii="Arial" w:hAnsi="Arial"/>
        </w:rPr>
        <w:t xml:space="preserve"> </w:t>
      </w:r>
      <w:proofErr w:type="spellStart"/>
      <w:r w:rsidRPr="00826C9D">
        <w:rPr>
          <w:rFonts w:ascii="Arial" w:hAnsi="Arial"/>
        </w:rPr>
        <w:t>tyre</w:t>
      </w:r>
      <w:proofErr w:type="spellEnd"/>
      <w:r w:rsidRPr="00826C9D">
        <w:rPr>
          <w:rFonts w:ascii="Arial" w:hAnsi="Arial"/>
        </w:rPr>
        <w:t xml:space="preserve">) rozmiaru 165 R 15 - zalecanej przez World Road </w:t>
      </w:r>
      <w:proofErr w:type="spellStart"/>
      <w:r w:rsidRPr="00826C9D">
        <w:rPr>
          <w:rFonts w:ascii="Arial" w:hAnsi="Arial"/>
        </w:rPr>
        <w:t>Association</w:t>
      </w:r>
      <w:proofErr w:type="spellEnd"/>
      <w:r w:rsidRPr="00826C9D">
        <w:rPr>
          <w:rFonts w:ascii="Arial" w:hAnsi="Arial"/>
        </w:rPr>
        <w:t xml:space="preserve"> PIARC, lub za pomocą innej wiarygodnej metody równoważnej, jeśli dysponuje się sprawdzoną zależnością korelacyjną umożliwiającą przeliczenie wyników pomiarów. Pomiary powinny być wykonywane w temperaturze otoczenia od 5ºC do 30ºC, na czystej nawierzchni.</w:t>
      </w:r>
    </w:p>
    <w:p w14:paraId="20C07794" w14:textId="77777777" w:rsidR="003006F5" w:rsidRPr="00826C9D" w:rsidRDefault="00F64263" w:rsidP="00C0119D">
      <w:pPr>
        <w:pStyle w:val="Akapitzlist1"/>
        <w:numPr>
          <w:ilvl w:val="0"/>
          <w:numId w:val="25"/>
        </w:numPr>
        <w:spacing w:before="120" w:after="120"/>
        <w:contextualSpacing w:val="0"/>
        <w:jc w:val="both"/>
        <w:rPr>
          <w:rFonts w:ascii="Arial" w:hAnsi="Arial"/>
        </w:rPr>
      </w:pPr>
      <w:r w:rsidRPr="00826C9D">
        <w:rPr>
          <w:rFonts w:ascii="Arial" w:hAnsi="Arial"/>
        </w:rPr>
        <w:br w:type="page"/>
      </w:r>
      <w:r w:rsidR="003006F5" w:rsidRPr="00826C9D">
        <w:rPr>
          <w:rFonts w:ascii="Arial" w:hAnsi="Arial"/>
        </w:rPr>
        <w:lastRenderedPageBreak/>
        <w:t xml:space="preserve">Równość poprzeczna </w:t>
      </w:r>
    </w:p>
    <w:p w14:paraId="12B837E5" w14:textId="77777777" w:rsidR="003006F5" w:rsidRPr="00826C9D" w:rsidRDefault="003006F5" w:rsidP="00F64263">
      <w:pPr>
        <w:spacing w:before="120" w:after="0"/>
        <w:jc w:val="both"/>
        <w:rPr>
          <w:rFonts w:ascii="Arial" w:hAnsi="Arial"/>
          <w:i/>
          <w:iCs/>
        </w:rPr>
      </w:pPr>
      <w:r w:rsidRPr="00826C9D">
        <w:rPr>
          <w:rFonts w:ascii="Arial" w:hAnsi="Arial"/>
          <w:i/>
          <w:iCs/>
        </w:rPr>
        <w:t xml:space="preserve">Tabela 3. Wymagana wartość miarodajnej głębokości koleiny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7"/>
        <w:gridCol w:w="3828"/>
      </w:tblGrid>
      <w:tr w:rsidR="003006F5" w:rsidRPr="00826C9D" w14:paraId="79EFD3A1" w14:textId="77777777" w:rsidTr="00F53B90">
        <w:tc>
          <w:tcPr>
            <w:tcW w:w="1417" w:type="dxa"/>
            <w:vAlign w:val="center"/>
          </w:tcPr>
          <w:p w14:paraId="4044F879" w14:textId="77777777" w:rsidR="003006F5" w:rsidRPr="00826C9D" w:rsidRDefault="003006F5" w:rsidP="00F53B90">
            <w:pPr>
              <w:spacing w:before="120" w:after="120"/>
              <w:jc w:val="center"/>
              <w:rPr>
                <w:rFonts w:ascii="Arial" w:hAnsi="Arial"/>
              </w:rPr>
            </w:pPr>
            <w:r w:rsidRPr="00826C9D">
              <w:rPr>
                <w:rFonts w:ascii="Arial" w:hAnsi="Arial"/>
              </w:rPr>
              <w:t>Klasa drogi</w:t>
            </w:r>
          </w:p>
        </w:tc>
        <w:tc>
          <w:tcPr>
            <w:tcW w:w="3828" w:type="dxa"/>
            <w:vAlign w:val="center"/>
          </w:tcPr>
          <w:p w14:paraId="30FD2136" w14:textId="77777777" w:rsidR="003006F5" w:rsidRPr="00826C9D" w:rsidRDefault="003006F5" w:rsidP="00F53B90">
            <w:pPr>
              <w:spacing w:before="120" w:after="120"/>
              <w:jc w:val="center"/>
              <w:rPr>
                <w:rFonts w:ascii="Arial" w:hAnsi="Arial"/>
              </w:rPr>
            </w:pPr>
            <w:r w:rsidRPr="00826C9D">
              <w:rPr>
                <w:rFonts w:ascii="Arial" w:hAnsi="Arial"/>
              </w:rPr>
              <w:t>Miarodajna głębokość koleiny [mm]</w:t>
            </w:r>
          </w:p>
        </w:tc>
      </w:tr>
      <w:tr w:rsidR="003006F5" w:rsidRPr="00826C9D" w14:paraId="13DF234D" w14:textId="77777777" w:rsidTr="00F53B90">
        <w:tc>
          <w:tcPr>
            <w:tcW w:w="1417" w:type="dxa"/>
            <w:vAlign w:val="center"/>
          </w:tcPr>
          <w:p w14:paraId="0096BE7B" w14:textId="06850770" w:rsidR="003006F5" w:rsidRPr="00826C9D" w:rsidRDefault="00046065" w:rsidP="00F53B90">
            <w:pPr>
              <w:spacing w:before="120" w:after="120"/>
              <w:jc w:val="center"/>
              <w:rPr>
                <w:rFonts w:ascii="Arial" w:hAnsi="Arial"/>
              </w:rPr>
            </w:pPr>
            <w:r>
              <w:rPr>
                <w:rFonts w:ascii="Arial" w:hAnsi="Arial"/>
              </w:rPr>
              <w:t>wszystkie</w:t>
            </w:r>
          </w:p>
        </w:tc>
        <w:tc>
          <w:tcPr>
            <w:tcW w:w="3828" w:type="dxa"/>
            <w:vAlign w:val="center"/>
          </w:tcPr>
          <w:p w14:paraId="321612E2" w14:textId="77777777" w:rsidR="003006F5" w:rsidRPr="00826C9D" w:rsidRDefault="003006F5" w:rsidP="00F53B90">
            <w:pPr>
              <w:spacing w:before="120" w:after="120"/>
              <w:jc w:val="center"/>
              <w:rPr>
                <w:rFonts w:ascii="Arial" w:hAnsi="Arial"/>
              </w:rPr>
            </w:pPr>
            <w:r w:rsidRPr="00826C9D">
              <w:rPr>
                <w:rFonts w:ascii="Arial" w:hAnsi="Arial"/>
              </w:rPr>
              <w:t>≤ 10</w:t>
            </w:r>
          </w:p>
        </w:tc>
      </w:tr>
    </w:tbl>
    <w:p w14:paraId="7259EC9E" w14:textId="77777777" w:rsidR="003006F5" w:rsidRPr="00826C9D" w:rsidRDefault="003006F5" w:rsidP="003006F5">
      <w:pPr>
        <w:spacing w:before="120" w:after="120"/>
        <w:jc w:val="both"/>
        <w:rPr>
          <w:rFonts w:ascii="Arial" w:hAnsi="Arial"/>
        </w:rPr>
      </w:pPr>
      <w:r w:rsidRPr="00826C9D">
        <w:rPr>
          <w:rFonts w:ascii="Arial" w:hAnsi="Arial"/>
        </w:rPr>
        <w:t>W tabeli 3 podano maksymalną dopuszczalną wartość wskaźnika, powyżej którego należy zastosować program naprawczy.</w:t>
      </w:r>
    </w:p>
    <w:p w14:paraId="7ED74EF6" w14:textId="0E2807B8" w:rsidR="003006F5" w:rsidRPr="00826C9D" w:rsidRDefault="003006F5" w:rsidP="003006F5">
      <w:pPr>
        <w:pStyle w:val="Akapitzlist1"/>
        <w:numPr>
          <w:ilvl w:val="0"/>
          <w:numId w:val="5"/>
        </w:numPr>
        <w:spacing w:before="120" w:after="120"/>
        <w:ind w:left="284" w:hanging="284"/>
        <w:contextualSpacing w:val="0"/>
        <w:jc w:val="both"/>
        <w:rPr>
          <w:rFonts w:ascii="Arial" w:hAnsi="Arial"/>
        </w:rPr>
      </w:pPr>
      <w:r w:rsidRPr="00826C9D">
        <w:rPr>
          <w:rFonts w:ascii="Arial" w:hAnsi="Arial"/>
        </w:rPr>
        <w:t xml:space="preserve">Miarodajna głębokość koleiny wyznaczona dla </w:t>
      </w:r>
      <w:smartTag w:uri="urn:schemas-microsoft-com:office:smarttags" w:element="metricconverter">
        <w:smartTagPr>
          <w:attr w:name="ProductID" w:val="50 m"/>
        </w:smartTagPr>
        <w:r w:rsidRPr="00826C9D">
          <w:rPr>
            <w:rFonts w:ascii="Arial" w:hAnsi="Arial"/>
          </w:rPr>
          <w:t>50 m</w:t>
        </w:r>
      </w:smartTag>
      <w:r w:rsidRPr="00826C9D">
        <w:rPr>
          <w:rFonts w:ascii="Arial" w:hAnsi="Arial"/>
        </w:rPr>
        <w:t xml:space="preserve"> odcinka drogi – jest równa sumie wartości średniej E[h] i dwóch odchyleń standardowych </w:t>
      </w:r>
      <w:proofErr w:type="spellStart"/>
      <w:r w:rsidRPr="00826C9D">
        <w:rPr>
          <w:rFonts w:ascii="Arial" w:hAnsi="Arial"/>
        </w:rPr>
        <w:t>D</w:t>
      </w:r>
      <w:r w:rsidRPr="00826C9D">
        <w:rPr>
          <w:rFonts w:ascii="Arial" w:hAnsi="Arial"/>
          <w:vertAlign w:val="subscript"/>
        </w:rPr>
        <w:t>h</w:t>
      </w:r>
      <w:proofErr w:type="spellEnd"/>
      <w:r w:rsidRPr="00826C9D">
        <w:rPr>
          <w:rFonts w:ascii="Arial" w:hAnsi="Arial"/>
        </w:rPr>
        <w:t xml:space="preserve">, które oblicza się dla zbioru n wyników </w:t>
      </w:r>
      <w:r w:rsidR="002A439E" w:rsidRPr="00826C9D">
        <w:rPr>
          <w:rFonts w:ascii="Arial" w:hAnsi="Arial"/>
        </w:rPr>
        <w:br/>
      </w:r>
      <w:r w:rsidRPr="00826C9D">
        <w:rPr>
          <w:rFonts w:ascii="Arial" w:hAnsi="Arial"/>
        </w:rPr>
        <w:t xml:space="preserve">z automatycznego pomiaru głębokości koleiny z ustalonym krokiem pomiarowym (h) i oblicza się wg poniższego wzoru: </w:t>
      </w:r>
    </w:p>
    <w:p w14:paraId="24FD28A2" w14:textId="77777777" w:rsidR="003006F5" w:rsidRPr="00826C9D" w:rsidRDefault="003006F5" w:rsidP="003006F5">
      <w:pPr>
        <w:spacing w:before="120" w:after="120"/>
        <w:jc w:val="center"/>
        <w:rPr>
          <w:rFonts w:ascii="Arial" w:hAnsi="Arial"/>
        </w:rPr>
      </w:pPr>
      <w:r w:rsidRPr="00826C9D">
        <w:rPr>
          <w:rFonts w:ascii="Arial" w:hAnsi="Arial"/>
        </w:rPr>
        <w:t>H</w:t>
      </w:r>
      <w:r w:rsidRPr="00826C9D">
        <w:rPr>
          <w:rFonts w:ascii="Arial" w:hAnsi="Arial"/>
          <w:vertAlign w:val="subscript"/>
        </w:rPr>
        <w:t>m</w:t>
      </w:r>
      <w:r w:rsidRPr="00826C9D">
        <w:rPr>
          <w:rFonts w:ascii="Arial" w:hAnsi="Arial"/>
        </w:rPr>
        <w:t xml:space="preserve"> = E[h] + 2D</w:t>
      </w:r>
      <w:r w:rsidRPr="00826C9D">
        <w:rPr>
          <w:rFonts w:ascii="Arial" w:hAnsi="Arial"/>
          <w:vertAlign w:val="subscript"/>
        </w:rPr>
        <w:t>h</w:t>
      </w:r>
    </w:p>
    <w:p w14:paraId="1F0C8CAB" w14:textId="77777777" w:rsidR="003006F5" w:rsidRPr="00826C9D" w:rsidRDefault="003006F5" w:rsidP="003006F5">
      <w:pPr>
        <w:spacing w:before="120" w:after="120"/>
        <w:jc w:val="both"/>
        <w:rPr>
          <w:rFonts w:ascii="Arial" w:hAnsi="Arial"/>
        </w:rPr>
      </w:pPr>
      <w:r w:rsidRPr="00826C9D">
        <w:rPr>
          <w:rFonts w:ascii="Arial" w:hAnsi="Arial"/>
        </w:rPr>
        <w:t>gdzie:</w:t>
      </w:r>
    </w:p>
    <w:p w14:paraId="3F7D5057" w14:textId="77777777" w:rsidR="003006F5" w:rsidRPr="00826C9D" w:rsidRDefault="003006F5" w:rsidP="003006F5">
      <w:pPr>
        <w:tabs>
          <w:tab w:val="left" w:pos="567"/>
        </w:tabs>
        <w:spacing w:before="120" w:after="120"/>
        <w:rPr>
          <w:rFonts w:ascii="Arial" w:hAnsi="Arial"/>
        </w:rPr>
      </w:pPr>
      <w:r w:rsidRPr="00826C9D">
        <w:rPr>
          <w:rFonts w:ascii="Arial" w:hAnsi="Arial"/>
        </w:rPr>
        <w:t>H</w:t>
      </w:r>
      <w:r w:rsidRPr="00826C9D">
        <w:rPr>
          <w:rFonts w:ascii="Arial" w:hAnsi="Arial"/>
          <w:vertAlign w:val="subscript"/>
        </w:rPr>
        <w:t>m</w:t>
      </w:r>
      <w:r w:rsidRPr="00826C9D">
        <w:rPr>
          <w:rFonts w:ascii="Arial" w:hAnsi="Arial"/>
        </w:rPr>
        <w:tab/>
        <w:t>– miarodajna głębokość koleiny dla odcinka 50 metrowego,</w:t>
      </w:r>
    </w:p>
    <w:p w14:paraId="457FF9BD" w14:textId="77777777" w:rsidR="003006F5" w:rsidRPr="00826C9D" w:rsidRDefault="003006F5" w:rsidP="003006F5">
      <w:pPr>
        <w:tabs>
          <w:tab w:val="left" w:pos="567"/>
        </w:tabs>
        <w:spacing w:before="120" w:after="120"/>
        <w:ind w:left="709" w:hanging="709"/>
        <w:rPr>
          <w:rFonts w:ascii="Arial" w:hAnsi="Arial"/>
        </w:rPr>
      </w:pPr>
      <w:r w:rsidRPr="00826C9D">
        <w:rPr>
          <w:rFonts w:ascii="Arial" w:hAnsi="Arial"/>
        </w:rPr>
        <w:t>E[h]</w:t>
      </w:r>
      <w:r w:rsidRPr="00826C9D">
        <w:rPr>
          <w:rFonts w:ascii="Arial" w:hAnsi="Arial"/>
        </w:rPr>
        <w:tab/>
        <w:t>– wartość średnia z n pojedynczych pomiarów dla ustalonego kroku pomiarowego h,</w:t>
      </w:r>
    </w:p>
    <w:p w14:paraId="599CA339" w14:textId="77777777" w:rsidR="003006F5" w:rsidRPr="00826C9D" w:rsidRDefault="003006F5" w:rsidP="003006F5">
      <w:pPr>
        <w:tabs>
          <w:tab w:val="left" w:pos="567"/>
        </w:tabs>
        <w:spacing w:before="120" w:after="120"/>
        <w:rPr>
          <w:rFonts w:ascii="Arial" w:hAnsi="Arial"/>
        </w:rPr>
      </w:pPr>
      <w:proofErr w:type="spellStart"/>
      <w:r w:rsidRPr="00826C9D">
        <w:rPr>
          <w:rFonts w:ascii="Arial" w:hAnsi="Arial"/>
        </w:rPr>
        <w:t>D</w:t>
      </w:r>
      <w:r w:rsidRPr="00826C9D">
        <w:rPr>
          <w:rFonts w:ascii="Arial" w:hAnsi="Arial"/>
          <w:vertAlign w:val="subscript"/>
        </w:rPr>
        <w:t>h</w:t>
      </w:r>
      <w:proofErr w:type="spellEnd"/>
      <w:r w:rsidRPr="00826C9D">
        <w:rPr>
          <w:rFonts w:ascii="Arial" w:hAnsi="Arial"/>
        </w:rPr>
        <w:tab/>
        <w:t>– odchylenie standardowe dla odcinka 50 metrowego.</w:t>
      </w:r>
    </w:p>
    <w:p w14:paraId="692E9A32" w14:textId="77777777" w:rsidR="003006F5" w:rsidRPr="00826C9D" w:rsidRDefault="003006F5" w:rsidP="003006F5">
      <w:pPr>
        <w:pStyle w:val="Akapitzlist1"/>
        <w:numPr>
          <w:ilvl w:val="0"/>
          <w:numId w:val="5"/>
        </w:numPr>
        <w:spacing w:before="120" w:after="120"/>
        <w:ind w:left="284" w:hanging="284"/>
        <w:contextualSpacing w:val="0"/>
        <w:jc w:val="both"/>
        <w:rPr>
          <w:rFonts w:ascii="Arial" w:hAnsi="Arial"/>
        </w:rPr>
      </w:pPr>
      <w:r w:rsidRPr="00826C9D">
        <w:rPr>
          <w:rFonts w:ascii="Arial" w:hAnsi="Arial"/>
        </w:rPr>
        <w:t>Miarodajna głębokość koleiny wyznaczona dla kilometrowego odcinka drogi – jest równa sumie wartości średniej E[H] i połowie odchylenia standardowego D</w:t>
      </w:r>
      <w:r w:rsidRPr="00826C9D">
        <w:rPr>
          <w:rFonts w:ascii="Arial" w:hAnsi="Arial"/>
          <w:vertAlign w:val="subscript"/>
        </w:rPr>
        <w:t>H</w:t>
      </w:r>
      <w:r w:rsidRPr="00826C9D">
        <w:rPr>
          <w:rFonts w:ascii="Arial" w:hAnsi="Arial"/>
        </w:rPr>
        <w:t>, którą oblicza się dla zbioru n (n=20) średnich wyników dla każdego z 50 metrowych odcinków z automatycznego pomiaru głębokości koleiny (h), wg poniższego wzoru:</w:t>
      </w:r>
    </w:p>
    <w:p w14:paraId="3BDE5DDC" w14:textId="77777777" w:rsidR="003006F5" w:rsidRPr="00826C9D" w:rsidRDefault="003006F5" w:rsidP="003006F5">
      <w:pPr>
        <w:spacing w:before="120" w:after="120"/>
        <w:jc w:val="center"/>
        <w:rPr>
          <w:rFonts w:ascii="Arial" w:hAnsi="Arial"/>
        </w:rPr>
      </w:pPr>
      <w:proofErr w:type="spellStart"/>
      <w:r w:rsidRPr="00826C9D">
        <w:rPr>
          <w:rFonts w:ascii="Arial" w:hAnsi="Arial"/>
        </w:rPr>
        <w:t>H</w:t>
      </w:r>
      <w:r w:rsidRPr="00826C9D">
        <w:rPr>
          <w:rFonts w:ascii="Arial" w:hAnsi="Arial"/>
          <w:vertAlign w:val="subscript"/>
        </w:rPr>
        <w:t>p</w:t>
      </w:r>
      <w:proofErr w:type="spellEnd"/>
      <w:r w:rsidRPr="00826C9D">
        <w:rPr>
          <w:rFonts w:ascii="Arial" w:hAnsi="Arial"/>
        </w:rPr>
        <w:t xml:space="preserve"> = E[H] + 0,5D</w:t>
      </w:r>
      <w:r w:rsidRPr="00826C9D">
        <w:rPr>
          <w:rFonts w:ascii="Arial" w:hAnsi="Arial"/>
          <w:vertAlign w:val="subscript"/>
        </w:rPr>
        <w:t>H</w:t>
      </w:r>
    </w:p>
    <w:p w14:paraId="5CC397C3" w14:textId="77777777" w:rsidR="003006F5" w:rsidRPr="00826C9D" w:rsidRDefault="003006F5" w:rsidP="003006F5">
      <w:pPr>
        <w:spacing w:before="120" w:after="120"/>
        <w:jc w:val="both"/>
        <w:rPr>
          <w:rFonts w:ascii="Arial" w:hAnsi="Arial"/>
        </w:rPr>
      </w:pPr>
      <w:r w:rsidRPr="00826C9D">
        <w:rPr>
          <w:rFonts w:ascii="Arial" w:hAnsi="Arial"/>
        </w:rPr>
        <w:t xml:space="preserve">gdzie: </w:t>
      </w:r>
    </w:p>
    <w:p w14:paraId="56A201AF" w14:textId="77777777" w:rsidR="003006F5" w:rsidRPr="00826C9D" w:rsidRDefault="003006F5" w:rsidP="003006F5">
      <w:pPr>
        <w:tabs>
          <w:tab w:val="left" w:pos="567"/>
        </w:tabs>
        <w:spacing w:before="120" w:after="120"/>
        <w:jc w:val="both"/>
        <w:rPr>
          <w:rFonts w:ascii="Arial" w:hAnsi="Arial"/>
        </w:rPr>
      </w:pPr>
      <w:proofErr w:type="spellStart"/>
      <w:r w:rsidRPr="00826C9D">
        <w:rPr>
          <w:rFonts w:ascii="Arial" w:hAnsi="Arial"/>
        </w:rPr>
        <w:t>H</w:t>
      </w:r>
      <w:r w:rsidRPr="00826C9D">
        <w:rPr>
          <w:rFonts w:ascii="Arial" w:hAnsi="Arial"/>
          <w:vertAlign w:val="subscript"/>
        </w:rPr>
        <w:t>p</w:t>
      </w:r>
      <w:proofErr w:type="spellEnd"/>
      <w:r w:rsidRPr="00826C9D">
        <w:rPr>
          <w:rFonts w:ascii="Arial" w:hAnsi="Arial"/>
        </w:rPr>
        <w:tab/>
        <w:t>– miarodajna głębokość koleiny dla odcinka kilometrowego,</w:t>
      </w:r>
    </w:p>
    <w:p w14:paraId="20277B5B" w14:textId="77777777" w:rsidR="003006F5" w:rsidRPr="00826C9D" w:rsidRDefault="003006F5" w:rsidP="003006F5">
      <w:pPr>
        <w:tabs>
          <w:tab w:val="left" w:pos="567"/>
        </w:tabs>
        <w:spacing w:before="120" w:after="120"/>
        <w:ind w:left="709" w:hanging="709"/>
        <w:jc w:val="both"/>
        <w:rPr>
          <w:rFonts w:ascii="Arial" w:hAnsi="Arial"/>
        </w:rPr>
      </w:pPr>
      <w:r w:rsidRPr="00826C9D">
        <w:rPr>
          <w:rFonts w:ascii="Arial" w:hAnsi="Arial"/>
        </w:rPr>
        <w:t>E[H]</w:t>
      </w:r>
      <w:r w:rsidRPr="00826C9D">
        <w:rPr>
          <w:rFonts w:ascii="Arial" w:hAnsi="Arial"/>
        </w:rPr>
        <w:tab/>
        <w:t xml:space="preserve">– wartość średnia obliczana  z sumy pomiarów wartości średnich dla każdego </w:t>
      </w:r>
      <w:smartTag w:uri="urn:schemas-microsoft-com:office:smarttags" w:element="metricconverter">
        <w:smartTagPr>
          <w:attr w:name="ProductID" w:val="50 m"/>
        </w:smartTagPr>
        <w:r w:rsidRPr="00826C9D">
          <w:rPr>
            <w:rFonts w:ascii="Arial" w:hAnsi="Arial"/>
          </w:rPr>
          <w:t>50 m</w:t>
        </w:r>
      </w:smartTag>
      <w:r w:rsidRPr="00826C9D">
        <w:rPr>
          <w:rFonts w:ascii="Arial" w:hAnsi="Arial"/>
        </w:rPr>
        <w:t xml:space="preserve"> odcinka pomiarowego,</w:t>
      </w:r>
    </w:p>
    <w:p w14:paraId="25B4114D" w14:textId="77777777" w:rsidR="003006F5" w:rsidRPr="00826C9D" w:rsidRDefault="003006F5" w:rsidP="003006F5">
      <w:pPr>
        <w:tabs>
          <w:tab w:val="left" w:pos="567"/>
        </w:tabs>
        <w:spacing w:before="120" w:after="120"/>
        <w:jc w:val="both"/>
        <w:rPr>
          <w:rFonts w:ascii="Arial" w:hAnsi="Arial"/>
        </w:rPr>
      </w:pPr>
      <w:r w:rsidRPr="00826C9D">
        <w:rPr>
          <w:rFonts w:ascii="Arial" w:hAnsi="Arial"/>
        </w:rPr>
        <w:t>D</w:t>
      </w:r>
      <w:r w:rsidRPr="00826C9D">
        <w:rPr>
          <w:rFonts w:ascii="Arial" w:hAnsi="Arial"/>
          <w:vertAlign w:val="subscript"/>
        </w:rPr>
        <w:t>H</w:t>
      </w:r>
      <w:r w:rsidRPr="00826C9D">
        <w:rPr>
          <w:rFonts w:ascii="Arial" w:hAnsi="Arial"/>
        </w:rPr>
        <w:tab/>
        <w:t>– odchylenie standardowe dla odcinka kilometrowego.</w:t>
      </w:r>
    </w:p>
    <w:p w14:paraId="08087624" w14:textId="77777777" w:rsidR="003006F5" w:rsidRPr="00826C9D" w:rsidRDefault="003006F5" w:rsidP="003006F5">
      <w:pPr>
        <w:spacing w:before="120" w:after="120"/>
        <w:jc w:val="both"/>
        <w:rPr>
          <w:rFonts w:ascii="Arial" w:hAnsi="Arial"/>
        </w:rPr>
      </w:pPr>
      <w:r w:rsidRPr="00826C9D">
        <w:rPr>
          <w:rFonts w:ascii="Arial" w:hAnsi="Arial"/>
        </w:rPr>
        <w:t xml:space="preserve">Wyniki obliczeń zaokrągla się do </w:t>
      </w:r>
      <w:smartTag w:uri="urn:schemas-microsoft-com:office:smarttags" w:element="metricconverter">
        <w:smartTagPr>
          <w:attr w:name="ProductID" w:val="1 mm"/>
        </w:smartTagPr>
        <w:r w:rsidRPr="00826C9D">
          <w:rPr>
            <w:rFonts w:ascii="Arial" w:hAnsi="Arial"/>
          </w:rPr>
          <w:t>1 mm</w:t>
        </w:r>
      </w:smartTag>
      <w:r w:rsidRPr="00826C9D">
        <w:rPr>
          <w:rFonts w:ascii="Arial" w:hAnsi="Arial"/>
        </w:rPr>
        <w:t xml:space="preserve"> zgodnie z ogólnymi zasadami. </w:t>
      </w:r>
    </w:p>
    <w:p w14:paraId="47A8FB46" w14:textId="77777777" w:rsidR="003006F5" w:rsidRPr="00826C9D" w:rsidRDefault="003006F5" w:rsidP="003006F5">
      <w:pPr>
        <w:spacing w:before="120" w:after="120"/>
        <w:rPr>
          <w:rFonts w:ascii="Arial" w:hAnsi="Arial"/>
        </w:rPr>
      </w:pPr>
      <w:r w:rsidRPr="00826C9D">
        <w:rPr>
          <w:rFonts w:ascii="Arial" w:hAnsi="Arial"/>
        </w:rPr>
        <w:t xml:space="preserve">W przypadkach szczególnych, jak początek i koniec drogi, odcinkową ocenę </w:t>
      </w:r>
      <w:proofErr w:type="spellStart"/>
      <w:r w:rsidRPr="00826C9D">
        <w:rPr>
          <w:rFonts w:ascii="Arial" w:hAnsi="Arial"/>
        </w:rPr>
        <w:t>H</w:t>
      </w:r>
      <w:r w:rsidRPr="00826C9D">
        <w:rPr>
          <w:rFonts w:ascii="Arial" w:hAnsi="Arial"/>
          <w:vertAlign w:val="subscript"/>
        </w:rPr>
        <w:t>p</w:t>
      </w:r>
      <w:proofErr w:type="spellEnd"/>
      <w:r w:rsidRPr="00826C9D">
        <w:rPr>
          <w:rFonts w:ascii="Arial" w:hAnsi="Arial"/>
        </w:rPr>
        <w:t xml:space="preserve"> wyznacza się dla odcinków o długości 500 ÷ </w:t>
      </w:r>
      <w:smartTag w:uri="urn:schemas-microsoft-com:office:smarttags" w:element="metricconverter">
        <w:smartTagPr>
          <w:attr w:name="ProductID" w:val="1499 m"/>
        </w:smartTagPr>
        <w:r w:rsidRPr="00826C9D">
          <w:rPr>
            <w:rFonts w:ascii="Arial" w:hAnsi="Arial"/>
          </w:rPr>
          <w:t>1499 m</w:t>
        </w:r>
      </w:smartTag>
      <w:r w:rsidRPr="00826C9D">
        <w:rPr>
          <w:rFonts w:ascii="Arial" w:hAnsi="Arial"/>
        </w:rPr>
        <w:t xml:space="preserve">. </w:t>
      </w:r>
    </w:p>
    <w:p w14:paraId="38BC8F1C" w14:textId="77777777" w:rsidR="003006F5" w:rsidRPr="00826C9D" w:rsidRDefault="003006F5" w:rsidP="00C0119D">
      <w:pPr>
        <w:pStyle w:val="Akapitzlist1"/>
        <w:numPr>
          <w:ilvl w:val="0"/>
          <w:numId w:val="25"/>
        </w:numPr>
        <w:spacing w:before="120" w:after="120"/>
        <w:contextualSpacing w:val="0"/>
        <w:jc w:val="both"/>
        <w:rPr>
          <w:rFonts w:ascii="Arial" w:hAnsi="Arial"/>
        </w:rPr>
      </w:pPr>
      <w:r w:rsidRPr="00826C9D">
        <w:rPr>
          <w:rFonts w:ascii="Arial" w:hAnsi="Arial"/>
        </w:rPr>
        <w:t xml:space="preserve">Równość podłużna </w:t>
      </w:r>
    </w:p>
    <w:p w14:paraId="34CB077B" w14:textId="4A201861" w:rsidR="003006F5" w:rsidRPr="00826C9D" w:rsidRDefault="003006F5" w:rsidP="003006F5">
      <w:pPr>
        <w:spacing w:before="120" w:after="120"/>
        <w:jc w:val="both"/>
        <w:rPr>
          <w:rFonts w:ascii="Arial" w:hAnsi="Arial"/>
        </w:rPr>
      </w:pPr>
      <w:r w:rsidRPr="00826C9D">
        <w:rPr>
          <w:rFonts w:ascii="Arial" w:hAnsi="Arial"/>
        </w:rPr>
        <w:t>Do oceny równości podłużnej warstwy ścieralnej nawierzchni</w:t>
      </w:r>
      <w:r w:rsidR="00046065">
        <w:rPr>
          <w:rFonts w:ascii="Arial" w:hAnsi="Arial"/>
        </w:rPr>
        <w:t xml:space="preserve"> wszystkich</w:t>
      </w:r>
      <w:r w:rsidRPr="00826C9D">
        <w:rPr>
          <w:rFonts w:ascii="Arial" w:hAnsi="Arial"/>
        </w:rPr>
        <w:t xml:space="preserve"> dróg</w:t>
      </w:r>
      <w:r w:rsidR="00046065">
        <w:rPr>
          <w:rFonts w:ascii="Arial" w:hAnsi="Arial"/>
        </w:rPr>
        <w:t xml:space="preserve"> objętych zamówieniem</w:t>
      </w:r>
      <w:r w:rsidRPr="00826C9D">
        <w:rPr>
          <w:rFonts w:ascii="Arial" w:hAnsi="Arial"/>
        </w:rPr>
        <w:t xml:space="preserve"> należy stosować metodę profilometryczną bazującą na wskaźnikach równości IRI [mm/m]. Profil nierówności warstwy nawierzchni należy rejestrować z krokiem co </w:t>
      </w:r>
      <w:smartTag w:uri="urn:schemas-microsoft-com:office:smarttags" w:element="metricconverter">
        <w:smartTagPr>
          <w:attr w:name="ProductID" w:val="10 cm"/>
        </w:smartTagPr>
        <w:r w:rsidRPr="00826C9D">
          <w:rPr>
            <w:rFonts w:ascii="Arial" w:hAnsi="Arial"/>
          </w:rPr>
          <w:t>10 cm</w:t>
        </w:r>
      </w:smartTag>
      <w:r w:rsidRPr="00826C9D">
        <w:rPr>
          <w:rFonts w:ascii="Arial" w:hAnsi="Arial"/>
        </w:rPr>
        <w:t xml:space="preserve">. Wartość IRI standardowo należy wyznaczać z krokiem co </w:t>
      </w:r>
      <w:smartTag w:uri="urn:schemas-microsoft-com:office:smarttags" w:element="metricconverter">
        <w:smartTagPr>
          <w:attr w:name="ProductID" w:val="50ﾠm"/>
        </w:smartTagPr>
        <w:r w:rsidRPr="00826C9D">
          <w:rPr>
            <w:rFonts w:ascii="Arial" w:hAnsi="Arial"/>
          </w:rPr>
          <w:t>50 m</w:t>
        </w:r>
      </w:smartTag>
      <w:r w:rsidRPr="00826C9D">
        <w:rPr>
          <w:rFonts w:ascii="Arial" w:hAnsi="Arial"/>
        </w:rPr>
        <w:t>. Pomiary należy wykonywać w śladzie prawego koła.</w:t>
      </w:r>
    </w:p>
    <w:p w14:paraId="6BEAB925" w14:textId="77777777" w:rsidR="003006F5" w:rsidRPr="00826C9D" w:rsidRDefault="003006F5" w:rsidP="003006F5">
      <w:pPr>
        <w:spacing w:before="120" w:after="120"/>
        <w:jc w:val="both"/>
        <w:rPr>
          <w:rFonts w:ascii="Arial" w:hAnsi="Arial"/>
        </w:rPr>
      </w:pPr>
      <w:r w:rsidRPr="00826C9D">
        <w:rPr>
          <w:rFonts w:ascii="Arial" w:hAnsi="Arial"/>
        </w:rPr>
        <w:t xml:space="preserve">Wymagana równość podłużna jest określona przez wartość średnią wyników pomiaru </w:t>
      </w:r>
      <w:proofErr w:type="spellStart"/>
      <w:r w:rsidRPr="00826C9D">
        <w:rPr>
          <w:rFonts w:ascii="Arial" w:hAnsi="Arial"/>
        </w:rPr>
        <w:t>IRI</w:t>
      </w:r>
      <w:r w:rsidRPr="00826C9D">
        <w:rPr>
          <w:rFonts w:ascii="Arial" w:hAnsi="Arial"/>
          <w:vertAlign w:val="subscript"/>
        </w:rPr>
        <w:t>śr</w:t>
      </w:r>
      <w:proofErr w:type="spellEnd"/>
      <w:r w:rsidRPr="00826C9D">
        <w:rPr>
          <w:rFonts w:ascii="Arial" w:hAnsi="Arial"/>
        </w:rPr>
        <w:t xml:space="preserve"> oraz wartość maksymalną pojedynczego pomiaru </w:t>
      </w:r>
      <w:proofErr w:type="spellStart"/>
      <w:r w:rsidRPr="00826C9D">
        <w:rPr>
          <w:rFonts w:ascii="Arial" w:hAnsi="Arial"/>
        </w:rPr>
        <w:t>IRI</w:t>
      </w:r>
      <w:r w:rsidRPr="00826C9D">
        <w:rPr>
          <w:rFonts w:ascii="Arial" w:hAnsi="Arial"/>
          <w:vertAlign w:val="subscript"/>
        </w:rPr>
        <w:t>max</w:t>
      </w:r>
      <w:proofErr w:type="spellEnd"/>
      <w:r w:rsidRPr="00826C9D">
        <w:rPr>
          <w:rFonts w:ascii="Arial" w:hAnsi="Arial"/>
        </w:rPr>
        <w:t xml:space="preserve">, których nie można przekroczyć na długości ocenianego odcinka nawierzchni nie dłuższego niż </w:t>
      </w:r>
      <w:smartTag w:uri="urn:schemas-microsoft-com:office:smarttags" w:element="metricconverter">
        <w:smartTagPr>
          <w:attr w:name="ProductID" w:val="1000 m"/>
        </w:smartTagPr>
        <w:r w:rsidRPr="00826C9D">
          <w:rPr>
            <w:rFonts w:ascii="Arial" w:hAnsi="Arial"/>
          </w:rPr>
          <w:t>1000 m</w:t>
        </w:r>
      </w:smartTag>
      <w:r w:rsidRPr="00826C9D">
        <w:rPr>
          <w:rFonts w:ascii="Arial" w:hAnsi="Arial"/>
        </w:rPr>
        <w:t xml:space="preserve">. W przypadku odcinka nawierzchni o całkowitej długości mniejszej niż </w:t>
      </w:r>
      <w:smartTag w:uri="urn:schemas-microsoft-com:office:smarttags" w:element="metricconverter">
        <w:smartTagPr>
          <w:attr w:name="ProductID" w:val="500ﾠm"/>
        </w:smartTagPr>
        <w:r w:rsidRPr="00826C9D">
          <w:rPr>
            <w:rFonts w:ascii="Arial" w:hAnsi="Arial"/>
          </w:rPr>
          <w:t>500 m</w:t>
        </w:r>
      </w:smartTag>
      <w:r w:rsidRPr="00826C9D">
        <w:rPr>
          <w:rFonts w:ascii="Arial" w:hAnsi="Arial"/>
        </w:rPr>
        <w:t xml:space="preserve">, dopuszczalną wartość </w:t>
      </w:r>
      <w:proofErr w:type="spellStart"/>
      <w:r w:rsidRPr="00826C9D">
        <w:rPr>
          <w:rFonts w:ascii="Arial" w:hAnsi="Arial"/>
        </w:rPr>
        <w:t>IRI</w:t>
      </w:r>
      <w:r w:rsidRPr="00826C9D">
        <w:rPr>
          <w:rFonts w:ascii="Arial" w:hAnsi="Arial"/>
          <w:vertAlign w:val="subscript"/>
        </w:rPr>
        <w:t>śr</w:t>
      </w:r>
      <w:proofErr w:type="spellEnd"/>
      <w:r w:rsidRPr="00826C9D">
        <w:rPr>
          <w:rFonts w:ascii="Arial" w:hAnsi="Arial"/>
        </w:rPr>
        <w:t xml:space="preserve"> wg tabeli 4 należy zwiększyć o 0,2 mm/m. </w:t>
      </w:r>
    </w:p>
    <w:p w14:paraId="26CDBAE0" w14:textId="77777777" w:rsidR="003006F5" w:rsidRPr="00826C9D" w:rsidRDefault="003006F5" w:rsidP="003006F5">
      <w:pPr>
        <w:spacing w:before="120" w:after="120"/>
        <w:jc w:val="both"/>
        <w:rPr>
          <w:rFonts w:ascii="Arial" w:hAnsi="Arial"/>
        </w:rPr>
      </w:pPr>
      <w:r w:rsidRPr="00826C9D">
        <w:rPr>
          <w:rFonts w:ascii="Arial" w:hAnsi="Arial"/>
        </w:rPr>
        <w:lastRenderedPageBreak/>
        <w:t>Dopuszcza się stosowanie równoważnej, wiarygodnej aparatury pomiarowej, jeśli dysponuje się sprawdzoną zależnością korelacyjną umożliwiającą przeliczenie wyników pomiarów na wartości uzyskiwane profilografem laserowym.</w:t>
      </w:r>
    </w:p>
    <w:p w14:paraId="558C15E9" w14:textId="77777777" w:rsidR="002A439E" w:rsidRPr="00826C9D" w:rsidRDefault="002A439E" w:rsidP="003006F5">
      <w:pPr>
        <w:spacing w:before="120" w:after="120"/>
        <w:jc w:val="both"/>
        <w:rPr>
          <w:rFonts w:ascii="Arial" w:hAnsi="Arial"/>
        </w:rPr>
      </w:pPr>
    </w:p>
    <w:p w14:paraId="3D86F5B9" w14:textId="77777777" w:rsidR="003006F5" w:rsidRPr="00826C9D" w:rsidRDefault="003006F5" w:rsidP="00F64263">
      <w:pPr>
        <w:tabs>
          <w:tab w:val="left" w:pos="993"/>
        </w:tabs>
        <w:spacing w:before="120" w:after="0"/>
        <w:jc w:val="both"/>
        <w:rPr>
          <w:rFonts w:ascii="Arial" w:hAnsi="Arial"/>
          <w:i/>
          <w:iCs/>
        </w:rPr>
      </w:pPr>
      <w:r w:rsidRPr="00826C9D">
        <w:rPr>
          <w:rFonts w:ascii="Arial" w:hAnsi="Arial"/>
          <w:i/>
          <w:iCs/>
        </w:rPr>
        <w:t>Tabela 4.</w:t>
      </w:r>
      <w:r w:rsidRPr="00826C9D">
        <w:rPr>
          <w:rFonts w:ascii="Arial" w:hAnsi="Arial"/>
          <w:i/>
          <w:iCs/>
        </w:rPr>
        <w:tab/>
        <w:t>Wymagane parametry równości podłużnej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3686"/>
        <w:gridCol w:w="1984"/>
        <w:gridCol w:w="1731"/>
      </w:tblGrid>
      <w:tr w:rsidR="003006F5" w:rsidRPr="00826C9D" w14:paraId="7EF8E891" w14:textId="77777777" w:rsidTr="00F53B90">
        <w:tc>
          <w:tcPr>
            <w:tcW w:w="1134" w:type="dxa"/>
            <w:vMerge w:val="restart"/>
            <w:vAlign w:val="center"/>
          </w:tcPr>
          <w:p w14:paraId="7D8D8595" w14:textId="77777777" w:rsidR="003006F5" w:rsidRPr="00826C9D" w:rsidRDefault="003006F5" w:rsidP="00F53B90">
            <w:pPr>
              <w:spacing w:before="120" w:after="120"/>
              <w:jc w:val="center"/>
              <w:rPr>
                <w:rFonts w:ascii="Arial" w:hAnsi="Arial"/>
              </w:rPr>
            </w:pPr>
            <w:r w:rsidRPr="00826C9D">
              <w:rPr>
                <w:rFonts w:ascii="Arial" w:hAnsi="Arial"/>
              </w:rPr>
              <w:t>Klasa drogi</w:t>
            </w:r>
          </w:p>
        </w:tc>
        <w:tc>
          <w:tcPr>
            <w:tcW w:w="3686" w:type="dxa"/>
            <w:vMerge w:val="restart"/>
            <w:vAlign w:val="center"/>
          </w:tcPr>
          <w:p w14:paraId="394A9AFE" w14:textId="77777777" w:rsidR="003006F5" w:rsidRPr="00826C9D" w:rsidRDefault="003006F5" w:rsidP="00F53B90">
            <w:pPr>
              <w:spacing w:before="120" w:after="120"/>
              <w:jc w:val="center"/>
              <w:rPr>
                <w:rFonts w:ascii="Arial" w:hAnsi="Arial"/>
              </w:rPr>
            </w:pPr>
            <w:r w:rsidRPr="00826C9D">
              <w:rPr>
                <w:rFonts w:ascii="Arial" w:hAnsi="Arial"/>
              </w:rPr>
              <w:t>Element nawierzchni</w:t>
            </w:r>
          </w:p>
        </w:tc>
        <w:tc>
          <w:tcPr>
            <w:tcW w:w="3715" w:type="dxa"/>
            <w:gridSpan w:val="2"/>
            <w:vAlign w:val="center"/>
          </w:tcPr>
          <w:p w14:paraId="7E28D178" w14:textId="77777777" w:rsidR="003006F5" w:rsidRPr="00826C9D" w:rsidRDefault="003006F5" w:rsidP="00F53B90">
            <w:pPr>
              <w:spacing w:before="120" w:after="120"/>
              <w:jc w:val="center"/>
              <w:rPr>
                <w:rFonts w:ascii="Arial" w:hAnsi="Arial"/>
              </w:rPr>
            </w:pPr>
            <w:r w:rsidRPr="00826C9D">
              <w:rPr>
                <w:rFonts w:ascii="Arial" w:hAnsi="Arial"/>
              </w:rPr>
              <w:t>Wskaźniki dla zadanego zakresu długości odcinka drogi [mm/m]</w:t>
            </w:r>
          </w:p>
        </w:tc>
      </w:tr>
      <w:tr w:rsidR="003006F5" w:rsidRPr="00826C9D" w14:paraId="6582D158" w14:textId="77777777" w:rsidTr="00F53B90">
        <w:tc>
          <w:tcPr>
            <w:tcW w:w="1134" w:type="dxa"/>
            <w:vMerge/>
            <w:vAlign w:val="center"/>
          </w:tcPr>
          <w:p w14:paraId="2DFF0C2C" w14:textId="77777777" w:rsidR="003006F5" w:rsidRPr="00826C9D" w:rsidRDefault="003006F5" w:rsidP="00F53B90">
            <w:pPr>
              <w:spacing w:before="120" w:after="120"/>
              <w:jc w:val="center"/>
              <w:rPr>
                <w:rFonts w:ascii="Arial" w:hAnsi="Arial"/>
              </w:rPr>
            </w:pPr>
          </w:p>
        </w:tc>
        <w:tc>
          <w:tcPr>
            <w:tcW w:w="3686" w:type="dxa"/>
            <w:vMerge/>
            <w:vAlign w:val="center"/>
          </w:tcPr>
          <w:p w14:paraId="2C82B373" w14:textId="77777777" w:rsidR="003006F5" w:rsidRPr="00826C9D" w:rsidRDefault="003006F5" w:rsidP="00F53B90">
            <w:pPr>
              <w:spacing w:before="120" w:after="120"/>
              <w:jc w:val="center"/>
              <w:rPr>
                <w:rFonts w:ascii="Arial" w:hAnsi="Arial"/>
              </w:rPr>
            </w:pPr>
          </w:p>
        </w:tc>
        <w:tc>
          <w:tcPr>
            <w:tcW w:w="1984" w:type="dxa"/>
            <w:vAlign w:val="center"/>
          </w:tcPr>
          <w:p w14:paraId="2D2B16D9" w14:textId="77777777" w:rsidR="003006F5" w:rsidRPr="00826C9D" w:rsidRDefault="003006F5" w:rsidP="00F53B90">
            <w:pPr>
              <w:spacing w:before="120" w:after="120"/>
              <w:jc w:val="center"/>
              <w:rPr>
                <w:rFonts w:ascii="Arial" w:hAnsi="Arial"/>
              </w:rPr>
            </w:pPr>
            <w:proofErr w:type="spellStart"/>
            <w:r w:rsidRPr="00826C9D">
              <w:rPr>
                <w:rFonts w:ascii="Arial" w:hAnsi="Arial"/>
              </w:rPr>
              <w:t>IRI</w:t>
            </w:r>
            <w:r w:rsidRPr="00826C9D">
              <w:rPr>
                <w:rFonts w:ascii="Arial" w:hAnsi="Arial"/>
                <w:vertAlign w:val="subscript"/>
              </w:rPr>
              <w:t>śr</w:t>
            </w:r>
            <w:proofErr w:type="spellEnd"/>
          </w:p>
        </w:tc>
        <w:tc>
          <w:tcPr>
            <w:tcW w:w="1731" w:type="dxa"/>
            <w:vAlign w:val="center"/>
          </w:tcPr>
          <w:p w14:paraId="69185507" w14:textId="77777777" w:rsidR="003006F5" w:rsidRPr="00826C9D" w:rsidRDefault="003006F5" w:rsidP="00F53B90">
            <w:pPr>
              <w:spacing w:before="120" w:after="120"/>
              <w:jc w:val="center"/>
              <w:rPr>
                <w:rFonts w:ascii="Arial" w:hAnsi="Arial"/>
              </w:rPr>
            </w:pPr>
            <w:proofErr w:type="spellStart"/>
            <w:r w:rsidRPr="00826C9D">
              <w:rPr>
                <w:rFonts w:ascii="Arial" w:hAnsi="Arial"/>
              </w:rPr>
              <w:t>IRI</w:t>
            </w:r>
            <w:r w:rsidRPr="00826C9D">
              <w:rPr>
                <w:rFonts w:ascii="Arial" w:hAnsi="Arial"/>
                <w:vertAlign w:val="subscript"/>
              </w:rPr>
              <w:t>max</w:t>
            </w:r>
            <w:proofErr w:type="spellEnd"/>
          </w:p>
        </w:tc>
      </w:tr>
      <w:tr w:rsidR="003006F5" w:rsidRPr="00826C9D" w14:paraId="65974549" w14:textId="77777777" w:rsidTr="00F53B90">
        <w:tc>
          <w:tcPr>
            <w:tcW w:w="1134" w:type="dxa"/>
            <w:vAlign w:val="center"/>
          </w:tcPr>
          <w:p w14:paraId="66A61B12" w14:textId="08A2BAD6" w:rsidR="003006F5" w:rsidRPr="00826C9D" w:rsidRDefault="00046065" w:rsidP="00F53B90">
            <w:pPr>
              <w:spacing w:before="120" w:after="120"/>
              <w:jc w:val="center"/>
              <w:rPr>
                <w:rFonts w:ascii="Arial" w:hAnsi="Arial"/>
              </w:rPr>
            </w:pPr>
            <w:r>
              <w:rPr>
                <w:rFonts w:ascii="Arial" w:hAnsi="Arial"/>
              </w:rPr>
              <w:t>wszystkie</w:t>
            </w:r>
          </w:p>
        </w:tc>
        <w:tc>
          <w:tcPr>
            <w:tcW w:w="3686" w:type="dxa"/>
            <w:vAlign w:val="center"/>
          </w:tcPr>
          <w:p w14:paraId="0D697648" w14:textId="77777777" w:rsidR="003006F5" w:rsidRPr="00826C9D" w:rsidRDefault="003006F5" w:rsidP="00F53B90">
            <w:pPr>
              <w:spacing w:before="120" w:after="120"/>
              <w:rPr>
                <w:rFonts w:ascii="Arial" w:hAnsi="Arial"/>
              </w:rPr>
            </w:pPr>
            <w:r w:rsidRPr="00826C9D">
              <w:rPr>
                <w:rFonts w:ascii="Arial" w:hAnsi="Arial"/>
              </w:rPr>
              <w:t>Pasy ruchu zasadnicze, dodatkowe, włączenia i wyłączenia, postojowe</w:t>
            </w:r>
          </w:p>
        </w:tc>
        <w:tc>
          <w:tcPr>
            <w:tcW w:w="1984" w:type="dxa"/>
            <w:vAlign w:val="center"/>
          </w:tcPr>
          <w:p w14:paraId="21EB5B7C" w14:textId="77777777" w:rsidR="003006F5" w:rsidRPr="00826C9D" w:rsidRDefault="003006F5" w:rsidP="00F53B90">
            <w:pPr>
              <w:spacing w:before="120" w:after="120"/>
              <w:jc w:val="center"/>
              <w:rPr>
                <w:rFonts w:ascii="Arial" w:hAnsi="Arial"/>
              </w:rPr>
            </w:pPr>
            <w:r w:rsidRPr="00826C9D">
              <w:rPr>
                <w:rFonts w:ascii="Arial" w:hAnsi="Arial"/>
              </w:rPr>
              <w:t>≤ 2,0</w:t>
            </w:r>
          </w:p>
        </w:tc>
        <w:tc>
          <w:tcPr>
            <w:tcW w:w="1731" w:type="dxa"/>
            <w:vAlign w:val="center"/>
          </w:tcPr>
          <w:p w14:paraId="5D2167C8" w14:textId="77777777" w:rsidR="003006F5" w:rsidRPr="00826C9D" w:rsidRDefault="003006F5" w:rsidP="00F53B90">
            <w:pPr>
              <w:spacing w:before="120" w:after="120"/>
              <w:jc w:val="center"/>
              <w:rPr>
                <w:rFonts w:ascii="Arial" w:hAnsi="Arial"/>
              </w:rPr>
            </w:pPr>
            <w:r w:rsidRPr="00826C9D">
              <w:rPr>
                <w:rFonts w:ascii="Arial" w:hAnsi="Arial"/>
              </w:rPr>
              <w:t>≤ 3,6</w:t>
            </w:r>
          </w:p>
        </w:tc>
      </w:tr>
    </w:tbl>
    <w:p w14:paraId="7749F55B" w14:textId="77777777" w:rsidR="003006F5" w:rsidRPr="00826C9D" w:rsidRDefault="003006F5" w:rsidP="003006F5">
      <w:pPr>
        <w:spacing w:before="120" w:after="120"/>
        <w:jc w:val="both"/>
        <w:rPr>
          <w:rFonts w:ascii="Arial" w:hAnsi="Arial"/>
        </w:rPr>
      </w:pPr>
      <w:r w:rsidRPr="00826C9D">
        <w:rPr>
          <w:rFonts w:ascii="Arial" w:hAnsi="Arial"/>
        </w:rPr>
        <w:t>W tabeli 4 podano maksymalne dopuszczalne wartości wskaźników, powyżej których należy zastosować program naprawczy.</w:t>
      </w:r>
    </w:p>
    <w:p w14:paraId="6B569D37" w14:textId="77777777" w:rsidR="003006F5" w:rsidRPr="00826C9D" w:rsidRDefault="003006F5" w:rsidP="00C0119D">
      <w:pPr>
        <w:numPr>
          <w:ilvl w:val="0"/>
          <w:numId w:val="25"/>
        </w:numPr>
        <w:spacing w:before="120" w:after="120"/>
        <w:jc w:val="both"/>
        <w:rPr>
          <w:rFonts w:ascii="Arial" w:hAnsi="Arial"/>
        </w:rPr>
      </w:pPr>
      <w:r w:rsidRPr="00826C9D">
        <w:rPr>
          <w:rFonts w:ascii="Arial" w:hAnsi="Arial"/>
        </w:rPr>
        <w:t>Stan nawierzchni</w:t>
      </w:r>
    </w:p>
    <w:p w14:paraId="74DA3C3E" w14:textId="77777777" w:rsidR="003006F5" w:rsidRPr="00826C9D" w:rsidRDefault="003006F5" w:rsidP="003006F5">
      <w:pPr>
        <w:spacing w:before="120" w:after="120"/>
        <w:jc w:val="both"/>
        <w:rPr>
          <w:rFonts w:ascii="Arial" w:hAnsi="Arial"/>
        </w:rPr>
      </w:pPr>
      <w:r w:rsidRPr="00826C9D">
        <w:rPr>
          <w:rFonts w:ascii="Arial" w:hAnsi="Arial"/>
        </w:rPr>
        <w:t xml:space="preserve">Ocenę stanu nawierzchni wykonuje się przy użyciu pojazdów, umożliwiających </w:t>
      </w:r>
      <w:proofErr w:type="spellStart"/>
      <w:r w:rsidRPr="00826C9D">
        <w:rPr>
          <w:rFonts w:ascii="Arial" w:hAnsi="Arial"/>
        </w:rPr>
        <w:t>fotorejestrację</w:t>
      </w:r>
      <w:proofErr w:type="spellEnd"/>
      <w:r w:rsidRPr="00826C9D">
        <w:rPr>
          <w:rFonts w:ascii="Arial" w:hAnsi="Arial"/>
        </w:rPr>
        <w:t xml:space="preserve"> w trybie ciągłym oraz wyposażonych w oprogramowanie do automatycznego rozpoznawania i klasyfikowania rodzajów uszkodzeń.</w:t>
      </w:r>
    </w:p>
    <w:p w14:paraId="7345FAB3" w14:textId="77777777" w:rsidR="003006F5" w:rsidRPr="00826C9D" w:rsidRDefault="003006F5" w:rsidP="00F64263">
      <w:pPr>
        <w:tabs>
          <w:tab w:val="left" w:pos="993"/>
        </w:tabs>
        <w:spacing w:before="120" w:after="0"/>
        <w:ind w:left="993" w:hanging="993"/>
        <w:jc w:val="both"/>
        <w:rPr>
          <w:rFonts w:ascii="Arial" w:hAnsi="Arial"/>
          <w:i/>
          <w:iCs/>
        </w:rPr>
      </w:pPr>
      <w:r w:rsidRPr="00826C9D">
        <w:rPr>
          <w:rFonts w:ascii="Arial" w:hAnsi="Arial"/>
          <w:i/>
          <w:iCs/>
        </w:rPr>
        <w:t>Tabela 5.</w:t>
      </w:r>
      <w:r w:rsidRPr="00826C9D">
        <w:rPr>
          <w:rFonts w:ascii="Arial" w:hAnsi="Arial"/>
          <w:i/>
          <w:iCs/>
        </w:rPr>
        <w:tab/>
        <w:t>Wymagane parametry cech powierzchniowych nawierzchni, liczone jako procent powierzchni na 1km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1872"/>
      </w:tblGrid>
      <w:tr w:rsidR="003006F5" w:rsidRPr="00826C9D" w14:paraId="68671B28" w14:textId="77777777" w:rsidTr="00F53B90">
        <w:tc>
          <w:tcPr>
            <w:tcW w:w="6663" w:type="dxa"/>
            <w:vAlign w:val="center"/>
          </w:tcPr>
          <w:p w14:paraId="5EAF9FAF" w14:textId="77777777" w:rsidR="003006F5" w:rsidRPr="00826C9D" w:rsidRDefault="003006F5" w:rsidP="00F53B90">
            <w:pPr>
              <w:spacing w:before="120" w:after="120"/>
              <w:jc w:val="center"/>
              <w:rPr>
                <w:rFonts w:ascii="Arial" w:hAnsi="Arial"/>
              </w:rPr>
            </w:pPr>
            <w:r w:rsidRPr="00826C9D">
              <w:rPr>
                <w:rFonts w:ascii="Arial" w:hAnsi="Arial"/>
              </w:rPr>
              <w:t>Parametr</w:t>
            </w:r>
          </w:p>
        </w:tc>
        <w:tc>
          <w:tcPr>
            <w:tcW w:w="1872" w:type="dxa"/>
            <w:vAlign w:val="center"/>
          </w:tcPr>
          <w:p w14:paraId="128DE3C1" w14:textId="77777777" w:rsidR="003006F5" w:rsidRPr="00826C9D" w:rsidRDefault="003006F5" w:rsidP="00F53B90">
            <w:pPr>
              <w:spacing w:before="120" w:after="120"/>
              <w:jc w:val="center"/>
              <w:rPr>
                <w:rFonts w:ascii="Arial" w:hAnsi="Arial"/>
              </w:rPr>
            </w:pPr>
            <w:r w:rsidRPr="00826C9D">
              <w:rPr>
                <w:rFonts w:ascii="Arial" w:hAnsi="Arial"/>
              </w:rPr>
              <w:t>Wartość [%]</w:t>
            </w:r>
          </w:p>
        </w:tc>
      </w:tr>
      <w:tr w:rsidR="003006F5" w:rsidRPr="00826C9D" w14:paraId="657AC0EB" w14:textId="77777777" w:rsidTr="00F53B90">
        <w:tc>
          <w:tcPr>
            <w:tcW w:w="6663" w:type="dxa"/>
          </w:tcPr>
          <w:p w14:paraId="5689C8A3" w14:textId="77777777" w:rsidR="003006F5" w:rsidRPr="00826C9D" w:rsidRDefault="003006F5" w:rsidP="00F53B90">
            <w:pPr>
              <w:spacing w:before="120" w:after="120"/>
              <w:jc w:val="both"/>
              <w:rPr>
                <w:rFonts w:ascii="Arial" w:hAnsi="Arial"/>
              </w:rPr>
            </w:pPr>
            <w:r w:rsidRPr="00826C9D">
              <w:rPr>
                <w:rFonts w:ascii="Arial" w:hAnsi="Arial"/>
              </w:rPr>
              <w:t>Spękania siatkowe, skupiska spękań i pęknięcia pojedyncze</w:t>
            </w:r>
          </w:p>
        </w:tc>
        <w:tc>
          <w:tcPr>
            <w:tcW w:w="1872" w:type="dxa"/>
            <w:vAlign w:val="center"/>
          </w:tcPr>
          <w:p w14:paraId="7EE2FFC2" w14:textId="77777777" w:rsidR="003006F5" w:rsidRPr="00826C9D" w:rsidRDefault="003006F5" w:rsidP="00F53B90">
            <w:pPr>
              <w:spacing w:before="120" w:after="120"/>
              <w:jc w:val="center"/>
              <w:rPr>
                <w:rFonts w:ascii="Arial" w:hAnsi="Arial"/>
              </w:rPr>
            </w:pPr>
            <w:r w:rsidRPr="00826C9D">
              <w:rPr>
                <w:rFonts w:ascii="Arial" w:hAnsi="Arial"/>
              </w:rPr>
              <w:t>≤1</w:t>
            </w:r>
          </w:p>
        </w:tc>
      </w:tr>
      <w:tr w:rsidR="003006F5" w:rsidRPr="00826C9D" w14:paraId="72EA204D" w14:textId="77777777" w:rsidTr="00F53B90">
        <w:tc>
          <w:tcPr>
            <w:tcW w:w="6663" w:type="dxa"/>
          </w:tcPr>
          <w:p w14:paraId="3147D28F" w14:textId="77777777" w:rsidR="003006F5" w:rsidRPr="00826C9D" w:rsidRDefault="003006F5" w:rsidP="00F53B90">
            <w:pPr>
              <w:spacing w:before="120" w:after="120"/>
              <w:jc w:val="both"/>
              <w:rPr>
                <w:rFonts w:ascii="Arial" w:hAnsi="Arial"/>
              </w:rPr>
            </w:pPr>
            <w:r w:rsidRPr="00826C9D">
              <w:rPr>
                <w:rFonts w:ascii="Arial" w:hAnsi="Arial"/>
              </w:rPr>
              <w:t>Łaty</w:t>
            </w:r>
          </w:p>
        </w:tc>
        <w:tc>
          <w:tcPr>
            <w:tcW w:w="1872" w:type="dxa"/>
            <w:vAlign w:val="center"/>
          </w:tcPr>
          <w:p w14:paraId="2B6593F6" w14:textId="77777777" w:rsidR="003006F5" w:rsidRPr="00826C9D" w:rsidRDefault="003006F5" w:rsidP="00F53B90">
            <w:pPr>
              <w:spacing w:before="120" w:after="120"/>
              <w:jc w:val="center"/>
              <w:rPr>
                <w:rFonts w:ascii="Arial" w:hAnsi="Arial"/>
              </w:rPr>
            </w:pPr>
            <w:r w:rsidRPr="00826C9D">
              <w:rPr>
                <w:rFonts w:ascii="Arial" w:hAnsi="Arial"/>
              </w:rPr>
              <w:t>≤1</w:t>
            </w:r>
          </w:p>
        </w:tc>
      </w:tr>
    </w:tbl>
    <w:p w14:paraId="1AE6254F" w14:textId="77777777" w:rsidR="003006F5" w:rsidRPr="00826C9D" w:rsidRDefault="003006F5" w:rsidP="003006F5">
      <w:pPr>
        <w:spacing w:before="120" w:after="120"/>
        <w:jc w:val="both"/>
        <w:rPr>
          <w:rFonts w:ascii="Arial" w:hAnsi="Arial"/>
        </w:rPr>
      </w:pPr>
      <w:r w:rsidRPr="00826C9D">
        <w:rPr>
          <w:rFonts w:ascii="Arial" w:hAnsi="Arial"/>
        </w:rPr>
        <w:t>W tabeli 5 podano maksymalne dopuszczalne wartości parametrów, powyżej których należy zastosować program naprawczy.</w:t>
      </w:r>
    </w:p>
    <w:p w14:paraId="0A31FA94" w14:textId="77777777" w:rsidR="003006F5" w:rsidRPr="00826C9D" w:rsidRDefault="003006F5" w:rsidP="00C0119D">
      <w:pPr>
        <w:numPr>
          <w:ilvl w:val="0"/>
          <w:numId w:val="25"/>
        </w:numPr>
        <w:spacing w:before="120" w:after="120"/>
        <w:jc w:val="both"/>
        <w:rPr>
          <w:rFonts w:ascii="Arial" w:hAnsi="Arial"/>
        </w:rPr>
      </w:pPr>
      <w:r w:rsidRPr="00826C9D">
        <w:rPr>
          <w:rFonts w:ascii="Arial" w:hAnsi="Arial"/>
        </w:rPr>
        <w:t>Nośność nawierzchni</w:t>
      </w:r>
    </w:p>
    <w:p w14:paraId="3A66C00E" w14:textId="77777777" w:rsidR="003006F5" w:rsidRPr="00826C9D" w:rsidRDefault="003006F5" w:rsidP="003006F5">
      <w:pPr>
        <w:spacing w:before="120" w:after="120"/>
        <w:jc w:val="both"/>
        <w:rPr>
          <w:rFonts w:ascii="Arial" w:hAnsi="Arial"/>
        </w:rPr>
      </w:pPr>
      <w:r w:rsidRPr="00826C9D">
        <w:rPr>
          <w:rFonts w:ascii="Arial" w:hAnsi="Arial"/>
        </w:rPr>
        <w:t>Stan nośności warstw konstrukcyjnych nawierzchni będzie oceniany w oparciu o pomiary ugięć aparatem FWD. Aparat FWD (</w:t>
      </w:r>
      <w:proofErr w:type="spellStart"/>
      <w:r w:rsidRPr="00826C9D">
        <w:rPr>
          <w:rFonts w:ascii="Arial" w:hAnsi="Arial"/>
        </w:rPr>
        <w:t>Falling</w:t>
      </w:r>
      <w:proofErr w:type="spellEnd"/>
      <w:r w:rsidRPr="00826C9D">
        <w:rPr>
          <w:rFonts w:ascii="Arial" w:hAnsi="Arial"/>
        </w:rPr>
        <w:t xml:space="preserve"> </w:t>
      </w:r>
      <w:proofErr w:type="spellStart"/>
      <w:r w:rsidRPr="00826C9D">
        <w:rPr>
          <w:rFonts w:ascii="Arial" w:hAnsi="Arial"/>
        </w:rPr>
        <w:t>Weight</w:t>
      </w:r>
      <w:proofErr w:type="spellEnd"/>
      <w:r w:rsidRPr="00826C9D">
        <w:rPr>
          <w:rFonts w:ascii="Arial" w:hAnsi="Arial"/>
        </w:rPr>
        <w:t xml:space="preserve"> </w:t>
      </w:r>
      <w:proofErr w:type="spellStart"/>
      <w:r w:rsidRPr="00826C9D">
        <w:rPr>
          <w:rFonts w:ascii="Arial" w:hAnsi="Arial"/>
        </w:rPr>
        <w:t>Deflectometer</w:t>
      </w:r>
      <w:proofErr w:type="spellEnd"/>
      <w:r w:rsidRPr="00826C9D">
        <w:rPr>
          <w:rFonts w:ascii="Arial" w:hAnsi="Arial"/>
        </w:rPr>
        <w:t xml:space="preserve">) jest to </w:t>
      </w:r>
      <w:proofErr w:type="spellStart"/>
      <w:r w:rsidRPr="00826C9D">
        <w:rPr>
          <w:rFonts w:ascii="Arial" w:hAnsi="Arial"/>
        </w:rPr>
        <w:t>ugięciomierz</w:t>
      </w:r>
      <w:proofErr w:type="spellEnd"/>
      <w:r w:rsidRPr="00826C9D">
        <w:rPr>
          <w:rFonts w:ascii="Arial" w:hAnsi="Arial"/>
        </w:rPr>
        <w:t xml:space="preserve"> dynamiczny, w którym obciążenie testowe jest przekazywane na nawierzchnie w sposób udarowy, symulujący przejazd pojazdu ciężkiego. </w:t>
      </w:r>
    </w:p>
    <w:p w14:paraId="12E2AD15" w14:textId="7A316BA0" w:rsidR="003006F5" w:rsidRPr="00826C9D" w:rsidRDefault="003006F5" w:rsidP="003006F5">
      <w:pPr>
        <w:spacing w:before="120" w:after="120"/>
        <w:jc w:val="both"/>
        <w:rPr>
          <w:rFonts w:ascii="Arial" w:hAnsi="Arial"/>
        </w:rPr>
      </w:pPr>
      <w:r w:rsidRPr="00826C9D">
        <w:rPr>
          <w:rFonts w:ascii="Arial" w:hAnsi="Arial"/>
        </w:rPr>
        <w:t xml:space="preserve">Pomiary ugięć nawierzchni należy wykonywać w śladzie prawego koła najbardziej obciążonego pasa ruchu oraz w przypadkach szczególnych (wystąpienie uszkodzeń nawierzchni typu: spękania, koleiny, nierówności) świadczących o potencjalnej utracie nośności na odcinkach pozostałych pasów </w:t>
      </w:r>
      <w:r w:rsidR="002A439E" w:rsidRPr="00826C9D">
        <w:rPr>
          <w:rFonts w:ascii="Arial" w:hAnsi="Arial"/>
        </w:rPr>
        <w:br/>
      </w:r>
      <w:r w:rsidRPr="00826C9D">
        <w:rPr>
          <w:rFonts w:ascii="Arial" w:hAnsi="Arial"/>
        </w:rPr>
        <w:t>w lokalizacjach wskazanych przez Zamawiającego.</w:t>
      </w:r>
    </w:p>
    <w:p w14:paraId="1D16C9DC" w14:textId="77777777" w:rsidR="003006F5" w:rsidRPr="00826C9D" w:rsidRDefault="003006F5" w:rsidP="00F64263">
      <w:pPr>
        <w:tabs>
          <w:tab w:val="left" w:pos="993"/>
        </w:tabs>
        <w:spacing w:before="120" w:after="0"/>
        <w:jc w:val="both"/>
        <w:rPr>
          <w:rFonts w:ascii="Arial" w:hAnsi="Arial"/>
          <w:i/>
          <w:iCs/>
        </w:rPr>
      </w:pPr>
      <w:r w:rsidRPr="00826C9D">
        <w:rPr>
          <w:rFonts w:ascii="Arial" w:hAnsi="Arial"/>
          <w:i/>
          <w:iCs/>
        </w:rPr>
        <w:t>Tabela 6.</w:t>
      </w:r>
      <w:r w:rsidRPr="00826C9D">
        <w:rPr>
          <w:rFonts w:ascii="Arial" w:hAnsi="Arial"/>
          <w:i/>
          <w:iCs/>
        </w:rPr>
        <w:tab/>
        <w:t xml:space="preserve">Wymagane wartości nośności nawierzchni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1134"/>
        <w:gridCol w:w="1134"/>
        <w:gridCol w:w="1134"/>
        <w:gridCol w:w="1134"/>
        <w:gridCol w:w="1134"/>
      </w:tblGrid>
      <w:tr w:rsidR="003006F5" w:rsidRPr="00826C9D" w14:paraId="48841E67" w14:textId="77777777" w:rsidTr="00F53B90">
        <w:tc>
          <w:tcPr>
            <w:tcW w:w="2835" w:type="dxa"/>
            <w:vMerge w:val="restart"/>
            <w:vAlign w:val="center"/>
          </w:tcPr>
          <w:p w14:paraId="0E4ABE7D" w14:textId="77777777" w:rsidR="003006F5" w:rsidRPr="00826C9D" w:rsidRDefault="003006F5" w:rsidP="00F53B90">
            <w:pPr>
              <w:spacing w:before="120" w:after="120"/>
              <w:jc w:val="center"/>
              <w:rPr>
                <w:rFonts w:ascii="Arial" w:hAnsi="Arial"/>
              </w:rPr>
            </w:pPr>
            <w:r w:rsidRPr="00826C9D">
              <w:rPr>
                <w:rFonts w:ascii="Arial" w:hAnsi="Arial"/>
              </w:rPr>
              <w:t>Parametr</w:t>
            </w:r>
          </w:p>
        </w:tc>
        <w:tc>
          <w:tcPr>
            <w:tcW w:w="5670" w:type="dxa"/>
            <w:gridSpan w:val="5"/>
            <w:vAlign w:val="center"/>
          </w:tcPr>
          <w:p w14:paraId="647A7269" w14:textId="77777777" w:rsidR="003006F5" w:rsidRPr="00826C9D" w:rsidRDefault="003006F5" w:rsidP="00F53B90">
            <w:pPr>
              <w:spacing w:before="120" w:after="120"/>
              <w:jc w:val="center"/>
              <w:rPr>
                <w:rFonts w:ascii="Arial" w:hAnsi="Arial"/>
              </w:rPr>
            </w:pPr>
            <w:r w:rsidRPr="00826C9D">
              <w:rPr>
                <w:rFonts w:ascii="Arial" w:hAnsi="Arial"/>
              </w:rPr>
              <w:t>Kategoria ruchu</w:t>
            </w:r>
          </w:p>
        </w:tc>
      </w:tr>
      <w:tr w:rsidR="003006F5" w:rsidRPr="00826C9D" w14:paraId="6D9F2FDB" w14:textId="77777777" w:rsidTr="00F53B90">
        <w:tc>
          <w:tcPr>
            <w:tcW w:w="2835" w:type="dxa"/>
            <w:vMerge/>
          </w:tcPr>
          <w:p w14:paraId="0F8F43B7" w14:textId="77777777" w:rsidR="003006F5" w:rsidRPr="00826C9D" w:rsidRDefault="003006F5" w:rsidP="00F53B90">
            <w:pPr>
              <w:spacing w:before="120" w:after="120"/>
              <w:jc w:val="both"/>
              <w:rPr>
                <w:rFonts w:ascii="Arial" w:hAnsi="Arial"/>
              </w:rPr>
            </w:pPr>
          </w:p>
        </w:tc>
        <w:tc>
          <w:tcPr>
            <w:tcW w:w="1134" w:type="dxa"/>
            <w:vAlign w:val="center"/>
          </w:tcPr>
          <w:p w14:paraId="06258559" w14:textId="77777777" w:rsidR="003006F5" w:rsidRPr="00826C9D" w:rsidRDefault="003006F5" w:rsidP="00F53B90">
            <w:pPr>
              <w:spacing w:before="120" w:after="120"/>
              <w:jc w:val="center"/>
              <w:rPr>
                <w:rFonts w:ascii="Arial" w:hAnsi="Arial"/>
              </w:rPr>
            </w:pPr>
            <w:r w:rsidRPr="00826C9D">
              <w:rPr>
                <w:rFonts w:ascii="Arial" w:hAnsi="Arial"/>
              </w:rPr>
              <w:t>KR1-2</w:t>
            </w:r>
          </w:p>
        </w:tc>
        <w:tc>
          <w:tcPr>
            <w:tcW w:w="1134" w:type="dxa"/>
            <w:vAlign w:val="center"/>
          </w:tcPr>
          <w:p w14:paraId="68794DD8" w14:textId="77777777" w:rsidR="003006F5" w:rsidRPr="00826C9D" w:rsidRDefault="003006F5" w:rsidP="00F53B90">
            <w:pPr>
              <w:spacing w:before="120" w:after="120"/>
              <w:jc w:val="center"/>
              <w:rPr>
                <w:rFonts w:ascii="Arial" w:hAnsi="Arial"/>
              </w:rPr>
            </w:pPr>
            <w:r w:rsidRPr="00826C9D">
              <w:rPr>
                <w:rFonts w:ascii="Arial" w:hAnsi="Arial"/>
              </w:rPr>
              <w:t>KR3</w:t>
            </w:r>
          </w:p>
        </w:tc>
        <w:tc>
          <w:tcPr>
            <w:tcW w:w="1134" w:type="dxa"/>
            <w:vAlign w:val="center"/>
          </w:tcPr>
          <w:p w14:paraId="10AC3F3F" w14:textId="77777777" w:rsidR="003006F5" w:rsidRPr="00826C9D" w:rsidRDefault="003006F5" w:rsidP="00F53B90">
            <w:pPr>
              <w:spacing w:before="120" w:after="120"/>
              <w:jc w:val="center"/>
              <w:rPr>
                <w:rFonts w:ascii="Arial" w:hAnsi="Arial"/>
              </w:rPr>
            </w:pPr>
            <w:r w:rsidRPr="00826C9D">
              <w:rPr>
                <w:rFonts w:ascii="Arial" w:hAnsi="Arial"/>
              </w:rPr>
              <w:t>KR4</w:t>
            </w:r>
          </w:p>
        </w:tc>
        <w:tc>
          <w:tcPr>
            <w:tcW w:w="1134" w:type="dxa"/>
            <w:vAlign w:val="center"/>
          </w:tcPr>
          <w:p w14:paraId="3B031D51" w14:textId="77777777" w:rsidR="003006F5" w:rsidRPr="00826C9D" w:rsidRDefault="003006F5" w:rsidP="00F53B90">
            <w:pPr>
              <w:spacing w:before="120" w:after="120"/>
              <w:jc w:val="center"/>
              <w:rPr>
                <w:rFonts w:ascii="Arial" w:hAnsi="Arial"/>
              </w:rPr>
            </w:pPr>
            <w:r w:rsidRPr="00826C9D">
              <w:rPr>
                <w:rFonts w:ascii="Arial" w:hAnsi="Arial"/>
              </w:rPr>
              <w:t>KR5</w:t>
            </w:r>
          </w:p>
        </w:tc>
        <w:tc>
          <w:tcPr>
            <w:tcW w:w="1134" w:type="dxa"/>
            <w:vAlign w:val="center"/>
          </w:tcPr>
          <w:p w14:paraId="01888692" w14:textId="77777777" w:rsidR="003006F5" w:rsidRPr="00826C9D" w:rsidRDefault="003006F5" w:rsidP="00F53B90">
            <w:pPr>
              <w:spacing w:before="120" w:after="120"/>
              <w:jc w:val="center"/>
              <w:rPr>
                <w:rFonts w:ascii="Arial" w:hAnsi="Arial"/>
              </w:rPr>
            </w:pPr>
            <w:r w:rsidRPr="00826C9D">
              <w:rPr>
                <w:rFonts w:ascii="Arial" w:hAnsi="Arial"/>
              </w:rPr>
              <w:t>KR6-7</w:t>
            </w:r>
          </w:p>
        </w:tc>
      </w:tr>
      <w:tr w:rsidR="003006F5" w:rsidRPr="00826C9D" w14:paraId="3DD10F07" w14:textId="77777777" w:rsidTr="00F53B90">
        <w:tc>
          <w:tcPr>
            <w:tcW w:w="2835" w:type="dxa"/>
            <w:vAlign w:val="center"/>
          </w:tcPr>
          <w:p w14:paraId="0EFBD3D5" w14:textId="77777777" w:rsidR="003006F5" w:rsidRPr="00826C9D" w:rsidRDefault="003006F5" w:rsidP="00F53B90">
            <w:pPr>
              <w:spacing w:before="120" w:after="120"/>
              <w:rPr>
                <w:rFonts w:ascii="Arial" w:hAnsi="Arial"/>
              </w:rPr>
            </w:pPr>
            <w:r w:rsidRPr="00826C9D">
              <w:rPr>
                <w:rFonts w:ascii="Arial" w:hAnsi="Arial"/>
              </w:rPr>
              <w:lastRenderedPageBreak/>
              <w:t xml:space="preserve">Miarodajny wskaźnik ugięcia U, </w:t>
            </w:r>
            <w:r w:rsidRPr="00826C9D">
              <w:rPr>
                <w:rFonts w:ascii="Arial" w:hAnsi="Arial"/>
              </w:rPr>
              <w:sym w:font="SymbolPS" w:char="F06D"/>
            </w:r>
            <w:r w:rsidRPr="00826C9D">
              <w:rPr>
                <w:rFonts w:ascii="Arial" w:hAnsi="Arial"/>
              </w:rPr>
              <w:t>m</w:t>
            </w:r>
          </w:p>
        </w:tc>
        <w:tc>
          <w:tcPr>
            <w:tcW w:w="1134" w:type="dxa"/>
            <w:vAlign w:val="center"/>
          </w:tcPr>
          <w:p w14:paraId="6DFA475A" w14:textId="77777777" w:rsidR="003006F5" w:rsidRPr="00826C9D" w:rsidRDefault="003006F5" w:rsidP="00F53B90">
            <w:pPr>
              <w:spacing w:before="120" w:after="120"/>
              <w:jc w:val="center"/>
              <w:rPr>
                <w:rFonts w:ascii="Arial" w:hAnsi="Arial"/>
              </w:rPr>
            </w:pPr>
            <w:r w:rsidRPr="00826C9D">
              <w:rPr>
                <w:rFonts w:ascii="Arial" w:hAnsi="Arial"/>
              </w:rPr>
              <w:t>≤ 550</w:t>
            </w:r>
          </w:p>
        </w:tc>
        <w:tc>
          <w:tcPr>
            <w:tcW w:w="1134" w:type="dxa"/>
            <w:vAlign w:val="center"/>
          </w:tcPr>
          <w:p w14:paraId="359031A5" w14:textId="77777777" w:rsidR="003006F5" w:rsidRPr="00826C9D" w:rsidRDefault="003006F5" w:rsidP="00F53B90">
            <w:pPr>
              <w:spacing w:before="120" w:after="120"/>
              <w:jc w:val="center"/>
              <w:rPr>
                <w:rFonts w:ascii="Arial" w:hAnsi="Arial"/>
              </w:rPr>
            </w:pPr>
            <w:r w:rsidRPr="00826C9D">
              <w:rPr>
                <w:rFonts w:ascii="Arial" w:hAnsi="Arial"/>
              </w:rPr>
              <w:t>≤ 390</w:t>
            </w:r>
          </w:p>
        </w:tc>
        <w:tc>
          <w:tcPr>
            <w:tcW w:w="1134" w:type="dxa"/>
            <w:vAlign w:val="center"/>
          </w:tcPr>
          <w:p w14:paraId="77CD5AC8" w14:textId="77777777" w:rsidR="003006F5" w:rsidRPr="00826C9D" w:rsidRDefault="003006F5" w:rsidP="00F53B90">
            <w:pPr>
              <w:spacing w:before="120" w:after="120"/>
              <w:jc w:val="center"/>
              <w:rPr>
                <w:rFonts w:ascii="Arial" w:hAnsi="Arial"/>
              </w:rPr>
            </w:pPr>
            <w:r w:rsidRPr="00826C9D">
              <w:rPr>
                <w:rFonts w:ascii="Arial" w:hAnsi="Arial"/>
              </w:rPr>
              <w:t>≤ 300</w:t>
            </w:r>
          </w:p>
        </w:tc>
        <w:tc>
          <w:tcPr>
            <w:tcW w:w="1134" w:type="dxa"/>
            <w:vAlign w:val="center"/>
          </w:tcPr>
          <w:p w14:paraId="1C20B4AD" w14:textId="77777777" w:rsidR="003006F5" w:rsidRPr="00826C9D" w:rsidRDefault="003006F5" w:rsidP="00F53B90">
            <w:pPr>
              <w:spacing w:before="120" w:after="120"/>
              <w:jc w:val="center"/>
              <w:rPr>
                <w:rFonts w:ascii="Arial" w:hAnsi="Arial"/>
              </w:rPr>
            </w:pPr>
            <w:r w:rsidRPr="00826C9D">
              <w:rPr>
                <w:rFonts w:ascii="Arial" w:hAnsi="Arial"/>
              </w:rPr>
              <w:t>≤ 250</w:t>
            </w:r>
          </w:p>
        </w:tc>
        <w:tc>
          <w:tcPr>
            <w:tcW w:w="1134" w:type="dxa"/>
            <w:vAlign w:val="center"/>
          </w:tcPr>
          <w:p w14:paraId="2DC01ACE" w14:textId="77777777" w:rsidR="003006F5" w:rsidRPr="00826C9D" w:rsidRDefault="003006F5" w:rsidP="00F53B90">
            <w:pPr>
              <w:spacing w:before="120" w:after="120"/>
              <w:jc w:val="center"/>
              <w:rPr>
                <w:rFonts w:ascii="Arial" w:hAnsi="Arial"/>
              </w:rPr>
            </w:pPr>
            <w:r w:rsidRPr="00826C9D">
              <w:rPr>
                <w:rFonts w:ascii="Arial" w:hAnsi="Arial"/>
              </w:rPr>
              <w:t>≤ 205</w:t>
            </w:r>
          </w:p>
        </w:tc>
      </w:tr>
      <w:tr w:rsidR="003006F5" w:rsidRPr="00826C9D" w14:paraId="2EB8A3C1" w14:textId="77777777" w:rsidTr="00F53B90">
        <w:tc>
          <w:tcPr>
            <w:tcW w:w="2835" w:type="dxa"/>
            <w:vAlign w:val="center"/>
          </w:tcPr>
          <w:p w14:paraId="183A503E" w14:textId="77777777" w:rsidR="003006F5" w:rsidRPr="00826C9D" w:rsidRDefault="003006F5" w:rsidP="00F53B90">
            <w:pPr>
              <w:spacing w:before="120" w:after="120"/>
              <w:rPr>
                <w:rFonts w:ascii="Arial" w:hAnsi="Arial"/>
              </w:rPr>
            </w:pPr>
            <w:r w:rsidRPr="00826C9D">
              <w:rPr>
                <w:rFonts w:ascii="Arial" w:hAnsi="Arial"/>
              </w:rPr>
              <w:t xml:space="preserve">Miarodajny wskaźnik SCI300, </w:t>
            </w:r>
            <w:r w:rsidRPr="00826C9D">
              <w:rPr>
                <w:rFonts w:ascii="Arial" w:hAnsi="Arial"/>
              </w:rPr>
              <w:sym w:font="SymbolPS" w:char="F06D"/>
            </w:r>
            <w:r w:rsidRPr="00826C9D">
              <w:rPr>
                <w:rFonts w:ascii="Arial" w:hAnsi="Arial"/>
              </w:rPr>
              <w:t>m</w:t>
            </w:r>
          </w:p>
        </w:tc>
        <w:tc>
          <w:tcPr>
            <w:tcW w:w="1134" w:type="dxa"/>
            <w:vAlign w:val="center"/>
          </w:tcPr>
          <w:p w14:paraId="1025260E" w14:textId="77777777" w:rsidR="003006F5" w:rsidRPr="00826C9D" w:rsidRDefault="003006F5" w:rsidP="00F53B90">
            <w:pPr>
              <w:spacing w:before="120" w:after="120"/>
              <w:jc w:val="center"/>
              <w:rPr>
                <w:rFonts w:ascii="Arial" w:hAnsi="Arial"/>
              </w:rPr>
            </w:pPr>
            <w:r w:rsidRPr="00826C9D">
              <w:rPr>
                <w:rFonts w:ascii="Arial" w:hAnsi="Arial"/>
              </w:rPr>
              <w:t>≤ 115</w:t>
            </w:r>
          </w:p>
        </w:tc>
        <w:tc>
          <w:tcPr>
            <w:tcW w:w="1134" w:type="dxa"/>
            <w:vAlign w:val="center"/>
          </w:tcPr>
          <w:p w14:paraId="7C319E28" w14:textId="77777777" w:rsidR="003006F5" w:rsidRPr="00826C9D" w:rsidRDefault="003006F5" w:rsidP="00F53B90">
            <w:pPr>
              <w:spacing w:before="120" w:after="120"/>
              <w:jc w:val="center"/>
              <w:rPr>
                <w:rFonts w:ascii="Arial" w:hAnsi="Arial"/>
              </w:rPr>
            </w:pPr>
            <w:r w:rsidRPr="00826C9D">
              <w:rPr>
                <w:rFonts w:ascii="Arial" w:hAnsi="Arial"/>
              </w:rPr>
              <w:t>≤ 70</w:t>
            </w:r>
          </w:p>
        </w:tc>
        <w:tc>
          <w:tcPr>
            <w:tcW w:w="1134" w:type="dxa"/>
            <w:vAlign w:val="center"/>
          </w:tcPr>
          <w:p w14:paraId="168D51C8" w14:textId="77777777" w:rsidR="003006F5" w:rsidRPr="00826C9D" w:rsidRDefault="003006F5" w:rsidP="00F53B90">
            <w:pPr>
              <w:spacing w:before="120" w:after="120"/>
              <w:jc w:val="center"/>
              <w:rPr>
                <w:rFonts w:ascii="Arial" w:hAnsi="Arial"/>
              </w:rPr>
            </w:pPr>
            <w:r w:rsidRPr="00826C9D">
              <w:rPr>
                <w:rFonts w:ascii="Arial" w:hAnsi="Arial"/>
              </w:rPr>
              <w:t>≤ 50</w:t>
            </w:r>
          </w:p>
        </w:tc>
        <w:tc>
          <w:tcPr>
            <w:tcW w:w="1134" w:type="dxa"/>
            <w:vAlign w:val="center"/>
          </w:tcPr>
          <w:p w14:paraId="468712D7" w14:textId="77777777" w:rsidR="003006F5" w:rsidRPr="00826C9D" w:rsidRDefault="003006F5" w:rsidP="00F53B90">
            <w:pPr>
              <w:spacing w:before="120" w:after="120"/>
              <w:jc w:val="center"/>
              <w:rPr>
                <w:rFonts w:ascii="Arial" w:hAnsi="Arial"/>
              </w:rPr>
            </w:pPr>
            <w:r w:rsidRPr="00826C9D">
              <w:rPr>
                <w:rFonts w:ascii="Arial" w:hAnsi="Arial"/>
              </w:rPr>
              <w:t>≤ 40</w:t>
            </w:r>
          </w:p>
        </w:tc>
        <w:tc>
          <w:tcPr>
            <w:tcW w:w="1134" w:type="dxa"/>
            <w:vAlign w:val="center"/>
          </w:tcPr>
          <w:p w14:paraId="46EA89E3" w14:textId="77777777" w:rsidR="003006F5" w:rsidRPr="00826C9D" w:rsidRDefault="003006F5" w:rsidP="00F53B90">
            <w:pPr>
              <w:spacing w:before="120" w:after="120"/>
              <w:jc w:val="center"/>
              <w:rPr>
                <w:rFonts w:ascii="Arial" w:hAnsi="Arial"/>
              </w:rPr>
            </w:pPr>
            <w:r w:rsidRPr="00826C9D">
              <w:rPr>
                <w:rFonts w:ascii="Arial" w:hAnsi="Arial"/>
              </w:rPr>
              <w:t>≤ 30</w:t>
            </w:r>
          </w:p>
        </w:tc>
      </w:tr>
    </w:tbl>
    <w:p w14:paraId="7C6EF83A" w14:textId="77777777" w:rsidR="003006F5" w:rsidRPr="00826C9D" w:rsidRDefault="003006F5" w:rsidP="003006F5">
      <w:pPr>
        <w:spacing w:before="120" w:after="120"/>
        <w:jc w:val="both"/>
        <w:rPr>
          <w:rFonts w:ascii="Arial" w:hAnsi="Arial"/>
        </w:rPr>
      </w:pPr>
      <w:r w:rsidRPr="00826C9D">
        <w:rPr>
          <w:rFonts w:ascii="Arial" w:hAnsi="Arial"/>
        </w:rPr>
        <w:t>W tabeli 6 podano maksymalne dopuszczalne wartości parametrów, powyżej  których należy zastosować program naprawczy.</w:t>
      </w:r>
    </w:p>
    <w:p w14:paraId="4835D676" w14:textId="77777777" w:rsidR="003006F5" w:rsidRPr="00826C9D" w:rsidRDefault="003006F5" w:rsidP="003006F5">
      <w:pPr>
        <w:spacing w:before="120" w:after="120"/>
        <w:jc w:val="both"/>
        <w:rPr>
          <w:rFonts w:ascii="Arial" w:hAnsi="Arial"/>
        </w:rPr>
      </w:pPr>
      <w:r w:rsidRPr="00826C9D">
        <w:rPr>
          <w:rFonts w:ascii="Arial" w:hAnsi="Arial"/>
          <w:b/>
          <w:u w:val="single"/>
        </w:rPr>
        <w:t>Miarodajny wskaźnik ugięcia</w:t>
      </w:r>
      <w:r w:rsidRPr="00826C9D">
        <w:rPr>
          <w:rFonts w:ascii="Arial" w:hAnsi="Arial"/>
        </w:rPr>
        <w:t>, jest obliczany jako suma wartości średniej i odchylenia standardowego wskaźników ugięć dla wyników z kilometrowego odcinka drogi. Wartość wyznacza się wg wzoru:</w:t>
      </w:r>
    </w:p>
    <w:p w14:paraId="54713D6A" w14:textId="4401EB23" w:rsidR="003006F5" w:rsidRPr="00826C9D" w:rsidRDefault="00C0119D" w:rsidP="003006F5">
      <w:pPr>
        <w:spacing w:before="120" w:after="120"/>
        <w:jc w:val="center"/>
        <w:rPr>
          <w:rFonts w:ascii="Arial" w:hAnsi="Arial"/>
        </w:rPr>
      </w:pPr>
      <w:r w:rsidRPr="00826C9D">
        <w:rPr>
          <w:rFonts w:ascii="Arial" w:hAnsi="Arial"/>
          <w:noProof/>
          <w:position w:val="-24"/>
        </w:rPr>
        <w:drawing>
          <wp:inline distT="0" distB="0" distL="0" distR="0" wp14:anchorId="728BA4B3" wp14:editId="1E267276">
            <wp:extent cx="1019175"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09600"/>
                    </a:xfrm>
                    <a:prstGeom prst="rect">
                      <a:avLst/>
                    </a:prstGeom>
                    <a:noFill/>
                    <a:ln>
                      <a:noFill/>
                    </a:ln>
                  </pic:spPr>
                </pic:pic>
              </a:graphicData>
            </a:graphic>
          </wp:inline>
        </w:drawing>
      </w:r>
    </w:p>
    <w:p w14:paraId="174DEF77" w14:textId="77777777" w:rsidR="003006F5" w:rsidRPr="00826C9D" w:rsidRDefault="003006F5" w:rsidP="003006F5">
      <w:pPr>
        <w:spacing w:before="120" w:after="120"/>
        <w:jc w:val="both"/>
        <w:rPr>
          <w:rFonts w:ascii="Arial" w:hAnsi="Arial"/>
        </w:rPr>
      </w:pPr>
      <w:r w:rsidRPr="00826C9D">
        <w:rPr>
          <w:rFonts w:ascii="Arial" w:hAnsi="Arial"/>
        </w:rPr>
        <w:t>gdzie:</w:t>
      </w:r>
    </w:p>
    <w:p w14:paraId="23E8678C" w14:textId="77777777" w:rsidR="003006F5" w:rsidRPr="00826C9D" w:rsidRDefault="003006F5" w:rsidP="003006F5">
      <w:pPr>
        <w:spacing w:before="120" w:after="120"/>
        <w:rPr>
          <w:rFonts w:ascii="Arial" w:hAnsi="Arial"/>
        </w:rPr>
      </w:pPr>
      <w:r w:rsidRPr="00826C9D">
        <w:rPr>
          <w:rFonts w:ascii="Arial" w:hAnsi="Arial"/>
        </w:rPr>
        <w:t xml:space="preserve">U </w:t>
      </w:r>
      <w:r w:rsidRPr="00826C9D">
        <w:rPr>
          <w:rFonts w:ascii="Arial" w:hAnsi="Arial"/>
        </w:rPr>
        <w:tab/>
        <w:t>– miarodajny wskaźnik ugięcia,</w:t>
      </w:r>
    </w:p>
    <w:p w14:paraId="25D92BFF" w14:textId="77777777" w:rsidR="003006F5" w:rsidRPr="00826C9D" w:rsidRDefault="003006F5" w:rsidP="003006F5">
      <w:pPr>
        <w:spacing w:before="120" w:after="120"/>
        <w:rPr>
          <w:rFonts w:ascii="Arial" w:hAnsi="Arial"/>
        </w:rPr>
      </w:pPr>
      <w:proofErr w:type="spellStart"/>
      <w:r w:rsidRPr="00826C9D">
        <w:rPr>
          <w:rFonts w:ascii="Arial" w:hAnsi="Arial"/>
        </w:rPr>
        <w:t>us</w:t>
      </w:r>
      <w:proofErr w:type="spellEnd"/>
      <w:r w:rsidRPr="00826C9D">
        <w:rPr>
          <w:rFonts w:ascii="Arial" w:hAnsi="Arial"/>
        </w:rPr>
        <w:t xml:space="preserve"> </w:t>
      </w:r>
      <w:r w:rsidRPr="00826C9D">
        <w:rPr>
          <w:rFonts w:ascii="Arial" w:hAnsi="Arial"/>
        </w:rPr>
        <w:tab/>
        <w:t>– standaryzowana wartość pojedynczego pomiaru ugięcia,</w:t>
      </w:r>
    </w:p>
    <w:p w14:paraId="177989B7" w14:textId="77777777" w:rsidR="003006F5" w:rsidRPr="00826C9D" w:rsidRDefault="003006F5" w:rsidP="003006F5">
      <w:pPr>
        <w:spacing w:before="120" w:after="120"/>
        <w:rPr>
          <w:rFonts w:ascii="Arial" w:hAnsi="Arial"/>
        </w:rPr>
      </w:pPr>
      <w:r w:rsidRPr="00826C9D">
        <w:rPr>
          <w:rFonts w:ascii="Arial" w:hAnsi="Arial"/>
        </w:rPr>
        <w:t xml:space="preserve">n </w:t>
      </w:r>
      <w:r w:rsidRPr="00826C9D">
        <w:rPr>
          <w:rFonts w:ascii="Arial" w:hAnsi="Arial"/>
        </w:rPr>
        <w:tab/>
        <w:t>– liczba ugięć standaryzowanych na odcinku.</w:t>
      </w:r>
    </w:p>
    <w:p w14:paraId="2CA4EE2D" w14:textId="77777777" w:rsidR="003006F5" w:rsidRPr="00826C9D" w:rsidRDefault="003006F5" w:rsidP="003006F5">
      <w:pPr>
        <w:tabs>
          <w:tab w:val="left" w:pos="709"/>
        </w:tabs>
        <w:spacing w:before="120" w:after="120"/>
        <w:ind w:left="851" w:hanging="851"/>
        <w:rPr>
          <w:rFonts w:ascii="Arial" w:hAnsi="Arial"/>
        </w:rPr>
      </w:pPr>
      <w:proofErr w:type="spellStart"/>
      <w:r w:rsidRPr="00826C9D">
        <w:rPr>
          <w:rFonts w:ascii="Arial" w:hAnsi="Arial"/>
        </w:rPr>
        <w:t>Du</w:t>
      </w:r>
      <w:proofErr w:type="spellEnd"/>
      <w:r w:rsidRPr="00826C9D">
        <w:rPr>
          <w:rFonts w:ascii="Arial" w:hAnsi="Arial"/>
        </w:rPr>
        <w:t xml:space="preserve"> </w:t>
      </w:r>
      <w:r w:rsidRPr="00826C9D">
        <w:rPr>
          <w:rFonts w:ascii="Arial" w:hAnsi="Arial"/>
        </w:rPr>
        <w:tab/>
        <w:t>– odchylenie standardowe standaryzowanych wartości pojedynczych pomiarów ugięć na odcinku miarodajnym.</w:t>
      </w:r>
    </w:p>
    <w:p w14:paraId="4E51ECC5" w14:textId="77777777" w:rsidR="003006F5" w:rsidRPr="00826C9D" w:rsidRDefault="003006F5" w:rsidP="003006F5">
      <w:pPr>
        <w:spacing w:before="120" w:after="120"/>
        <w:jc w:val="both"/>
        <w:rPr>
          <w:rFonts w:ascii="Arial" w:hAnsi="Arial"/>
        </w:rPr>
      </w:pPr>
      <w:r w:rsidRPr="00826C9D">
        <w:rPr>
          <w:rFonts w:ascii="Arial" w:hAnsi="Arial"/>
        </w:rPr>
        <w:t xml:space="preserve">Wynik obliczeń zaokrągla się zgodnie z ogólnymi zasadami. </w:t>
      </w:r>
    </w:p>
    <w:p w14:paraId="37F512CA" w14:textId="77777777" w:rsidR="003006F5" w:rsidRPr="00826C9D" w:rsidRDefault="003006F5" w:rsidP="003006F5">
      <w:pPr>
        <w:numPr>
          <w:ilvl w:val="0"/>
          <w:numId w:val="5"/>
        </w:numPr>
        <w:spacing w:before="120" w:after="120"/>
        <w:ind w:left="284" w:hanging="284"/>
        <w:jc w:val="both"/>
        <w:rPr>
          <w:rFonts w:ascii="Arial" w:hAnsi="Arial"/>
        </w:rPr>
      </w:pPr>
      <w:r w:rsidRPr="00826C9D">
        <w:rPr>
          <w:rFonts w:ascii="Arial" w:hAnsi="Arial"/>
        </w:rPr>
        <w:t xml:space="preserve">standaryzowana wartość pojedynczego pomiaru ugięcia - jest to ugięcie maksymalne sprowadzone do standardowych warunków nacisku 50 kN na kołowej powierzchni o średnicy </w:t>
      </w:r>
      <w:smartTag w:uri="urn:schemas-microsoft-com:office:smarttags" w:element="metricconverter">
        <w:smartTagPr>
          <w:attr w:name="ProductID" w:val="300ﾠmm"/>
        </w:smartTagPr>
        <w:r w:rsidRPr="00826C9D">
          <w:rPr>
            <w:rFonts w:ascii="Arial" w:hAnsi="Arial"/>
          </w:rPr>
          <w:t>300 mm</w:t>
        </w:r>
      </w:smartTag>
      <w:r w:rsidRPr="00826C9D">
        <w:rPr>
          <w:rFonts w:ascii="Arial" w:hAnsi="Arial"/>
        </w:rPr>
        <w:t xml:space="preserve"> przy temperaturze warstw asfaltowych </w:t>
      </w:r>
      <w:smartTag w:uri="urn:schemas-microsoft-com:office:smarttags" w:element="metricconverter">
        <w:smartTagPr>
          <w:attr w:name="ProductID" w:val="20ﾰC"/>
        </w:smartTagPr>
        <w:r w:rsidRPr="00826C9D">
          <w:rPr>
            <w:rFonts w:ascii="Arial" w:hAnsi="Arial"/>
          </w:rPr>
          <w:t>20°C</w:t>
        </w:r>
      </w:smartTag>
      <w:r w:rsidRPr="00826C9D">
        <w:rPr>
          <w:rFonts w:ascii="Arial" w:hAnsi="Arial"/>
        </w:rPr>
        <w:t xml:space="preserve"> uwzględniające sezon i rodzaj materiału podbudowy.</w:t>
      </w:r>
    </w:p>
    <w:p w14:paraId="4FDEA553" w14:textId="77777777" w:rsidR="003006F5" w:rsidRPr="00826C9D" w:rsidRDefault="003006F5" w:rsidP="003006F5">
      <w:pPr>
        <w:spacing w:before="120" w:after="120"/>
        <w:jc w:val="center"/>
        <w:rPr>
          <w:rFonts w:ascii="Arial" w:hAnsi="Arial"/>
          <w:lang w:val="en-US"/>
        </w:rPr>
      </w:pPr>
      <w:r w:rsidRPr="00826C9D">
        <w:rPr>
          <w:rFonts w:ascii="Arial" w:hAnsi="Arial"/>
          <w:lang w:val="en-US"/>
        </w:rPr>
        <w:t>us</w:t>
      </w:r>
      <w:r w:rsidRPr="00826C9D" w:rsidDel="009318D2">
        <w:rPr>
          <w:rFonts w:ascii="Arial" w:hAnsi="Arial"/>
          <w:lang w:val="en-US"/>
        </w:rPr>
        <w:t xml:space="preserve"> </w:t>
      </w:r>
      <w:r w:rsidRPr="00826C9D">
        <w:rPr>
          <w:rFonts w:ascii="Arial" w:hAnsi="Arial"/>
          <w:lang w:val="en-US"/>
        </w:rPr>
        <w:t>= D(50/F)·</w:t>
      </w:r>
      <w:proofErr w:type="spellStart"/>
      <w:r w:rsidRPr="00826C9D">
        <w:rPr>
          <w:rFonts w:ascii="Arial" w:hAnsi="Arial"/>
          <w:lang w:val="en-US"/>
        </w:rPr>
        <w:t>f</w:t>
      </w:r>
      <w:r w:rsidRPr="00826C9D">
        <w:rPr>
          <w:rFonts w:ascii="Arial" w:hAnsi="Arial"/>
          <w:vertAlign w:val="subscript"/>
          <w:lang w:val="en-US"/>
        </w:rPr>
        <w:t>T</w:t>
      </w:r>
      <w:r w:rsidRPr="00826C9D">
        <w:rPr>
          <w:rFonts w:ascii="Arial" w:hAnsi="Arial"/>
          <w:lang w:val="en-US"/>
        </w:rPr>
        <w:t>·f</w:t>
      </w:r>
      <w:r w:rsidRPr="00826C9D">
        <w:rPr>
          <w:rFonts w:ascii="Arial" w:hAnsi="Arial"/>
          <w:vertAlign w:val="subscript"/>
          <w:lang w:val="en-US"/>
        </w:rPr>
        <w:t>S</w:t>
      </w:r>
      <w:r w:rsidRPr="00826C9D">
        <w:rPr>
          <w:rFonts w:ascii="Arial" w:hAnsi="Arial"/>
          <w:lang w:val="en-US"/>
        </w:rPr>
        <w:t>·f</w:t>
      </w:r>
      <w:r w:rsidRPr="00826C9D">
        <w:rPr>
          <w:rFonts w:ascii="Arial" w:hAnsi="Arial"/>
          <w:vertAlign w:val="subscript"/>
          <w:lang w:val="en-US"/>
        </w:rPr>
        <w:t>P</w:t>
      </w:r>
      <w:proofErr w:type="spellEnd"/>
    </w:p>
    <w:p w14:paraId="2B79481B" w14:textId="77777777" w:rsidR="003006F5" w:rsidRPr="00826C9D" w:rsidRDefault="003006F5" w:rsidP="003006F5">
      <w:pPr>
        <w:spacing w:before="120" w:after="120"/>
        <w:jc w:val="both"/>
        <w:rPr>
          <w:rFonts w:ascii="Arial" w:hAnsi="Arial"/>
          <w:lang w:val="en-US"/>
        </w:rPr>
      </w:pPr>
      <w:proofErr w:type="spellStart"/>
      <w:r w:rsidRPr="00826C9D">
        <w:rPr>
          <w:rFonts w:ascii="Arial" w:hAnsi="Arial"/>
          <w:lang w:val="en-US"/>
        </w:rPr>
        <w:t>gdzie</w:t>
      </w:r>
      <w:proofErr w:type="spellEnd"/>
      <w:r w:rsidRPr="00826C9D">
        <w:rPr>
          <w:rFonts w:ascii="Arial" w:hAnsi="Arial"/>
          <w:lang w:val="en-US"/>
        </w:rPr>
        <w:t>:</w:t>
      </w:r>
    </w:p>
    <w:p w14:paraId="66CFFD50" w14:textId="77777777" w:rsidR="003006F5" w:rsidRPr="00826C9D" w:rsidRDefault="003006F5" w:rsidP="003006F5">
      <w:pPr>
        <w:tabs>
          <w:tab w:val="left" w:pos="567"/>
        </w:tabs>
        <w:spacing w:before="120" w:after="120"/>
        <w:jc w:val="both"/>
        <w:rPr>
          <w:rFonts w:ascii="Arial" w:hAnsi="Arial"/>
        </w:rPr>
      </w:pPr>
      <w:proofErr w:type="spellStart"/>
      <w:r w:rsidRPr="00826C9D">
        <w:rPr>
          <w:rFonts w:ascii="Arial" w:hAnsi="Arial"/>
        </w:rPr>
        <w:t>us</w:t>
      </w:r>
      <w:proofErr w:type="spellEnd"/>
      <w:r w:rsidRPr="00826C9D">
        <w:rPr>
          <w:rFonts w:ascii="Arial" w:hAnsi="Arial"/>
        </w:rPr>
        <w:tab/>
        <w:t>– ugięcie standaryzowane [</w:t>
      </w:r>
      <w:proofErr w:type="spellStart"/>
      <w:r w:rsidRPr="00826C9D">
        <w:rPr>
          <w:rFonts w:ascii="Arial" w:hAnsi="Arial"/>
        </w:rPr>
        <w:t>μm</w:t>
      </w:r>
      <w:proofErr w:type="spellEnd"/>
      <w:r w:rsidRPr="00826C9D">
        <w:rPr>
          <w:rFonts w:ascii="Arial" w:hAnsi="Arial"/>
        </w:rPr>
        <w:t xml:space="preserve">] </w:t>
      </w:r>
    </w:p>
    <w:p w14:paraId="5435C72B" w14:textId="77777777" w:rsidR="003006F5" w:rsidRPr="00826C9D" w:rsidRDefault="003006F5" w:rsidP="003006F5">
      <w:pPr>
        <w:tabs>
          <w:tab w:val="left" w:pos="567"/>
        </w:tabs>
        <w:spacing w:before="120" w:after="120"/>
        <w:jc w:val="both"/>
        <w:rPr>
          <w:rFonts w:ascii="Arial" w:hAnsi="Arial"/>
        </w:rPr>
      </w:pPr>
      <w:r w:rsidRPr="00826C9D">
        <w:rPr>
          <w:rFonts w:ascii="Arial" w:hAnsi="Arial"/>
        </w:rPr>
        <w:t>D</w:t>
      </w:r>
      <w:r w:rsidRPr="00826C9D">
        <w:rPr>
          <w:rFonts w:ascii="Arial" w:hAnsi="Arial"/>
        </w:rPr>
        <w:tab/>
        <w:t>– maksymalne ugięcie zarejestrowane [</w:t>
      </w:r>
      <w:proofErr w:type="spellStart"/>
      <w:r w:rsidRPr="00826C9D">
        <w:rPr>
          <w:rFonts w:ascii="Arial" w:hAnsi="Arial"/>
        </w:rPr>
        <w:t>μm</w:t>
      </w:r>
      <w:proofErr w:type="spellEnd"/>
      <w:r w:rsidRPr="00826C9D">
        <w:rPr>
          <w:rFonts w:ascii="Arial" w:hAnsi="Arial"/>
        </w:rPr>
        <w:t xml:space="preserve">] </w:t>
      </w:r>
    </w:p>
    <w:p w14:paraId="2E26A60C" w14:textId="77777777" w:rsidR="003006F5" w:rsidRPr="00826C9D" w:rsidRDefault="003006F5" w:rsidP="003006F5">
      <w:pPr>
        <w:tabs>
          <w:tab w:val="left" w:pos="567"/>
        </w:tabs>
        <w:spacing w:before="120" w:after="120"/>
        <w:jc w:val="both"/>
        <w:rPr>
          <w:rFonts w:ascii="Arial" w:hAnsi="Arial"/>
        </w:rPr>
      </w:pPr>
      <w:r w:rsidRPr="00826C9D">
        <w:rPr>
          <w:rFonts w:ascii="Arial" w:hAnsi="Arial"/>
        </w:rPr>
        <w:t>F</w:t>
      </w:r>
      <w:r w:rsidRPr="00826C9D">
        <w:rPr>
          <w:rFonts w:ascii="Arial" w:hAnsi="Arial"/>
        </w:rPr>
        <w:tab/>
        <w:t xml:space="preserve">– obciążenie zarejestrowane [kN] </w:t>
      </w:r>
    </w:p>
    <w:p w14:paraId="1BBCE3A4" w14:textId="77777777" w:rsidR="003006F5" w:rsidRPr="00826C9D" w:rsidRDefault="003006F5" w:rsidP="003006F5">
      <w:pPr>
        <w:tabs>
          <w:tab w:val="left" w:pos="567"/>
        </w:tabs>
        <w:spacing w:before="120" w:after="120"/>
        <w:jc w:val="both"/>
        <w:rPr>
          <w:rFonts w:ascii="Arial" w:hAnsi="Arial"/>
        </w:rPr>
      </w:pPr>
      <w:proofErr w:type="spellStart"/>
      <w:r w:rsidRPr="00826C9D">
        <w:rPr>
          <w:rFonts w:ascii="Arial" w:hAnsi="Arial"/>
        </w:rPr>
        <w:t>f</w:t>
      </w:r>
      <w:r w:rsidRPr="00826C9D">
        <w:rPr>
          <w:rFonts w:ascii="Arial" w:hAnsi="Arial"/>
          <w:vertAlign w:val="subscript"/>
        </w:rPr>
        <w:t>T</w:t>
      </w:r>
      <w:proofErr w:type="spellEnd"/>
      <w:r w:rsidRPr="00826C9D">
        <w:rPr>
          <w:rFonts w:ascii="Arial" w:hAnsi="Arial"/>
        </w:rPr>
        <w:tab/>
        <w:t xml:space="preserve">– współczynnik temperaturowy </w:t>
      </w:r>
    </w:p>
    <w:p w14:paraId="3875D6C8" w14:textId="77777777" w:rsidR="003006F5" w:rsidRPr="00826C9D" w:rsidRDefault="003006F5" w:rsidP="003006F5">
      <w:pPr>
        <w:tabs>
          <w:tab w:val="left" w:pos="567"/>
        </w:tabs>
        <w:spacing w:before="120" w:after="120"/>
        <w:jc w:val="both"/>
        <w:rPr>
          <w:rFonts w:ascii="Arial" w:hAnsi="Arial"/>
        </w:rPr>
      </w:pPr>
      <w:proofErr w:type="spellStart"/>
      <w:r w:rsidRPr="00826C9D">
        <w:rPr>
          <w:rFonts w:ascii="Arial" w:hAnsi="Arial"/>
        </w:rPr>
        <w:t>f</w:t>
      </w:r>
      <w:r w:rsidRPr="00826C9D">
        <w:rPr>
          <w:rFonts w:ascii="Arial" w:hAnsi="Arial"/>
          <w:vertAlign w:val="subscript"/>
        </w:rPr>
        <w:t>S</w:t>
      </w:r>
      <w:proofErr w:type="spellEnd"/>
      <w:r w:rsidRPr="00826C9D">
        <w:rPr>
          <w:rFonts w:ascii="Arial" w:hAnsi="Arial"/>
        </w:rPr>
        <w:tab/>
        <w:t xml:space="preserve">– współczynnik sezonowości </w:t>
      </w:r>
    </w:p>
    <w:p w14:paraId="1BBD8615" w14:textId="77777777" w:rsidR="003006F5" w:rsidRPr="00826C9D" w:rsidRDefault="003006F5" w:rsidP="003006F5">
      <w:pPr>
        <w:tabs>
          <w:tab w:val="left" w:pos="567"/>
        </w:tabs>
        <w:spacing w:before="120" w:after="120"/>
        <w:jc w:val="both"/>
        <w:rPr>
          <w:rFonts w:ascii="Arial" w:hAnsi="Arial"/>
        </w:rPr>
      </w:pPr>
      <w:proofErr w:type="spellStart"/>
      <w:r w:rsidRPr="00826C9D">
        <w:rPr>
          <w:rFonts w:ascii="Arial" w:hAnsi="Arial"/>
        </w:rPr>
        <w:t>f</w:t>
      </w:r>
      <w:r w:rsidRPr="00826C9D">
        <w:rPr>
          <w:rFonts w:ascii="Arial" w:hAnsi="Arial"/>
          <w:vertAlign w:val="subscript"/>
        </w:rPr>
        <w:t>P</w:t>
      </w:r>
      <w:proofErr w:type="spellEnd"/>
      <w:r w:rsidRPr="00826C9D">
        <w:rPr>
          <w:rFonts w:ascii="Arial" w:hAnsi="Arial"/>
        </w:rPr>
        <w:tab/>
        <w:t xml:space="preserve">– współczynnik podbudowy </w:t>
      </w:r>
    </w:p>
    <w:p w14:paraId="50CD9BC9" w14:textId="77777777" w:rsidR="003006F5" w:rsidRPr="00826C9D" w:rsidRDefault="003006F5" w:rsidP="003006F5">
      <w:pPr>
        <w:numPr>
          <w:ilvl w:val="0"/>
          <w:numId w:val="5"/>
        </w:numPr>
        <w:spacing w:before="120" w:after="120"/>
        <w:ind w:left="284" w:hanging="284"/>
        <w:jc w:val="both"/>
        <w:rPr>
          <w:rFonts w:ascii="Arial" w:hAnsi="Arial"/>
        </w:rPr>
      </w:pPr>
      <w:r w:rsidRPr="00826C9D">
        <w:rPr>
          <w:rFonts w:ascii="Arial" w:hAnsi="Arial"/>
        </w:rPr>
        <w:t>Korekta ugięć ze względu na temperaturę warstw asfaltowych</w:t>
      </w:r>
    </w:p>
    <w:p w14:paraId="7ADE44C9" w14:textId="77777777" w:rsidR="003006F5" w:rsidRPr="00826C9D" w:rsidRDefault="003006F5" w:rsidP="003006F5">
      <w:pPr>
        <w:spacing w:before="120" w:after="120"/>
        <w:jc w:val="both"/>
        <w:rPr>
          <w:rFonts w:ascii="Arial" w:hAnsi="Arial"/>
        </w:rPr>
      </w:pPr>
      <w:r w:rsidRPr="00826C9D">
        <w:rPr>
          <w:rFonts w:ascii="Arial" w:hAnsi="Arial"/>
        </w:rPr>
        <w:t xml:space="preserve">Współczynnik temperaturowy </w:t>
      </w:r>
      <w:proofErr w:type="spellStart"/>
      <w:r w:rsidRPr="00826C9D">
        <w:rPr>
          <w:rFonts w:ascii="Arial" w:hAnsi="Arial"/>
        </w:rPr>
        <w:t>f</w:t>
      </w:r>
      <w:r w:rsidRPr="00826C9D">
        <w:rPr>
          <w:rFonts w:ascii="Arial" w:hAnsi="Arial"/>
          <w:vertAlign w:val="subscript"/>
        </w:rPr>
        <w:t>T</w:t>
      </w:r>
      <w:proofErr w:type="spellEnd"/>
      <w:r w:rsidRPr="00826C9D">
        <w:rPr>
          <w:rFonts w:ascii="Arial" w:hAnsi="Arial"/>
        </w:rPr>
        <w:t xml:space="preserve"> koryguje wyniki pomiarów ugięć sprężystych wykonanych w różnej temperaturze warstw asfaltowych i sprowadza je do wartości odpowiadającej temperaturze miarodajnej, czyli średniej temperaturze tych warstw w okresie wiosennym. Współczynnik temperaturowy </w:t>
      </w:r>
      <w:proofErr w:type="spellStart"/>
      <w:r w:rsidRPr="00826C9D">
        <w:rPr>
          <w:rFonts w:ascii="Arial" w:hAnsi="Arial"/>
        </w:rPr>
        <w:t>f</w:t>
      </w:r>
      <w:r w:rsidRPr="00826C9D">
        <w:rPr>
          <w:rFonts w:ascii="Arial" w:hAnsi="Arial"/>
          <w:vertAlign w:val="subscript"/>
        </w:rPr>
        <w:t>T</w:t>
      </w:r>
      <w:proofErr w:type="spellEnd"/>
      <w:r w:rsidRPr="00826C9D">
        <w:rPr>
          <w:rFonts w:ascii="Arial" w:hAnsi="Arial"/>
        </w:rPr>
        <w:t xml:space="preserve"> określa się ze wzoru: </w:t>
      </w:r>
    </w:p>
    <w:p w14:paraId="3C01B9E6" w14:textId="77777777" w:rsidR="003006F5" w:rsidRPr="00826C9D" w:rsidRDefault="003006F5" w:rsidP="003006F5">
      <w:pPr>
        <w:spacing w:before="120" w:after="120"/>
        <w:jc w:val="center"/>
        <w:rPr>
          <w:rFonts w:ascii="Arial" w:hAnsi="Arial"/>
        </w:rPr>
      </w:pPr>
      <w:proofErr w:type="spellStart"/>
      <w:r w:rsidRPr="00826C9D">
        <w:rPr>
          <w:rFonts w:ascii="Arial" w:hAnsi="Arial"/>
        </w:rPr>
        <w:t>f</w:t>
      </w:r>
      <w:r w:rsidRPr="00826C9D">
        <w:rPr>
          <w:rFonts w:ascii="Arial" w:hAnsi="Arial"/>
          <w:vertAlign w:val="subscript"/>
        </w:rPr>
        <w:t>T</w:t>
      </w:r>
      <w:proofErr w:type="spellEnd"/>
      <w:r w:rsidRPr="00826C9D">
        <w:rPr>
          <w:rFonts w:ascii="Arial" w:hAnsi="Arial"/>
        </w:rPr>
        <w:t xml:space="preserve"> = 1 + 0,02(20-T)</w:t>
      </w:r>
    </w:p>
    <w:p w14:paraId="29456F2B" w14:textId="77777777" w:rsidR="003006F5" w:rsidRPr="00826C9D" w:rsidRDefault="003006F5" w:rsidP="003006F5">
      <w:pPr>
        <w:spacing w:before="120" w:after="120"/>
        <w:jc w:val="both"/>
        <w:rPr>
          <w:rFonts w:ascii="Arial" w:hAnsi="Arial"/>
        </w:rPr>
      </w:pPr>
      <w:r w:rsidRPr="00826C9D">
        <w:rPr>
          <w:rFonts w:ascii="Arial" w:hAnsi="Arial"/>
        </w:rPr>
        <w:t xml:space="preserve">gdzie: </w:t>
      </w:r>
    </w:p>
    <w:p w14:paraId="67C68A74" w14:textId="77777777" w:rsidR="003006F5" w:rsidRPr="00826C9D" w:rsidRDefault="003006F5" w:rsidP="00F64263">
      <w:pPr>
        <w:tabs>
          <w:tab w:val="left" w:pos="567"/>
        </w:tabs>
        <w:spacing w:before="120" w:after="120"/>
        <w:jc w:val="both"/>
        <w:rPr>
          <w:rFonts w:ascii="Arial" w:hAnsi="Arial"/>
        </w:rPr>
      </w:pPr>
      <w:r w:rsidRPr="00826C9D">
        <w:rPr>
          <w:rFonts w:ascii="Arial" w:hAnsi="Arial"/>
        </w:rPr>
        <w:lastRenderedPageBreak/>
        <w:t>T</w:t>
      </w:r>
      <w:r w:rsidRPr="00826C9D">
        <w:rPr>
          <w:rFonts w:ascii="Arial" w:hAnsi="Arial"/>
        </w:rPr>
        <w:tab/>
        <w:t xml:space="preserve">– temperatura warstw asfaltowych podczas badania FWD [°C] </w:t>
      </w:r>
    </w:p>
    <w:p w14:paraId="46BA6912" w14:textId="77777777" w:rsidR="003006F5" w:rsidRPr="00826C9D" w:rsidRDefault="003006F5" w:rsidP="003006F5">
      <w:pPr>
        <w:numPr>
          <w:ilvl w:val="0"/>
          <w:numId w:val="5"/>
        </w:numPr>
        <w:spacing w:before="120" w:after="120"/>
        <w:ind w:left="284" w:hanging="284"/>
        <w:jc w:val="both"/>
        <w:rPr>
          <w:rFonts w:ascii="Arial" w:hAnsi="Arial"/>
        </w:rPr>
      </w:pPr>
      <w:r w:rsidRPr="00826C9D">
        <w:rPr>
          <w:rFonts w:ascii="Arial" w:hAnsi="Arial"/>
        </w:rPr>
        <w:t xml:space="preserve">Korekta ugięć ze względu na okres wykonywania pomiarów ugięć </w:t>
      </w:r>
    </w:p>
    <w:p w14:paraId="785DA4B6" w14:textId="77777777" w:rsidR="003006F5" w:rsidRPr="00826C9D" w:rsidRDefault="003006F5" w:rsidP="003006F5">
      <w:pPr>
        <w:spacing w:before="120" w:after="120"/>
        <w:jc w:val="both"/>
        <w:rPr>
          <w:rFonts w:ascii="Arial" w:hAnsi="Arial"/>
        </w:rPr>
      </w:pPr>
      <w:r w:rsidRPr="00826C9D">
        <w:rPr>
          <w:rFonts w:ascii="Arial" w:hAnsi="Arial"/>
        </w:rPr>
        <w:t xml:space="preserve">Współczynnik sezonowości </w:t>
      </w:r>
      <w:proofErr w:type="spellStart"/>
      <w:r w:rsidRPr="00826C9D">
        <w:rPr>
          <w:rFonts w:ascii="Arial" w:hAnsi="Arial"/>
        </w:rPr>
        <w:t>f</w:t>
      </w:r>
      <w:r w:rsidRPr="00826C9D">
        <w:rPr>
          <w:rFonts w:ascii="Arial" w:hAnsi="Arial"/>
          <w:vertAlign w:val="subscript"/>
        </w:rPr>
        <w:t>S</w:t>
      </w:r>
      <w:proofErr w:type="spellEnd"/>
      <w:r w:rsidRPr="00826C9D">
        <w:rPr>
          <w:rFonts w:ascii="Arial" w:hAnsi="Arial"/>
        </w:rPr>
        <w:t xml:space="preserve">, zależny jest od okresu przeprowadzania pomiarów. Normalizacja polega na sprowadzeniu wartości ugięć pomierzonych w różnych okresach w ciągu roku do standardowych warunków wykonywania pomiarów w jednym okresie roku, wyznaczonym doświadczalnie dla danej strefy klimatycznej. </w:t>
      </w:r>
    </w:p>
    <w:p w14:paraId="3B84DDC4" w14:textId="77777777" w:rsidR="003006F5" w:rsidRPr="00826C9D" w:rsidRDefault="003006F5" w:rsidP="003006F5">
      <w:pPr>
        <w:spacing w:before="120" w:after="120"/>
        <w:jc w:val="both"/>
        <w:rPr>
          <w:rFonts w:ascii="Arial" w:hAnsi="Arial"/>
        </w:rPr>
      </w:pPr>
      <w:r w:rsidRPr="00826C9D">
        <w:rPr>
          <w:rFonts w:ascii="Arial" w:hAnsi="Arial"/>
        </w:rPr>
        <w:t xml:space="preserve">Wartości współczynnika </w:t>
      </w:r>
      <w:proofErr w:type="spellStart"/>
      <w:r w:rsidRPr="00826C9D">
        <w:rPr>
          <w:rFonts w:ascii="Arial" w:hAnsi="Arial"/>
        </w:rPr>
        <w:t>f</w:t>
      </w:r>
      <w:r w:rsidRPr="00826C9D">
        <w:rPr>
          <w:rFonts w:ascii="Arial" w:hAnsi="Arial"/>
          <w:vertAlign w:val="subscript"/>
        </w:rPr>
        <w:t>S</w:t>
      </w:r>
      <w:proofErr w:type="spellEnd"/>
      <w:r w:rsidRPr="00826C9D">
        <w:rPr>
          <w:rFonts w:ascii="Arial" w:hAnsi="Arial"/>
        </w:rPr>
        <w:t xml:space="preserve"> zamieszczono w tabeli 7.</w:t>
      </w:r>
    </w:p>
    <w:p w14:paraId="733C8796" w14:textId="77777777" w:rsidR="003006F5" w:rsidRPr="00826C9D" w:rsidRDefault="003006F5" w:rsidP="00F64263">
      <w:pPr>
        <w:tabs>
          <w:tab w:val="left" w:pos="993"/>
        </w:tabs>
        <w:spacing w:before="120" w:after="0"/>
        <w:jc w:val="both"/>
        <w:rPr>
          <w:rFonts w:ascii="Arial" w:hAnsi="Arial"/>
          <w:i/>
          <w:iCs/>
        </w:rPr>
      </w:pPr>
      <w:r w:rsidRPr="00826C9D">
        <w:rPr>
          <w:rFonts w:ascii="Arial" w:hAnsi="Arial"/>
          <w:i/>
          <w:iCs/>
        </w:rPr>
        <w:t>Tabela 7.</w:t>
      </w:r>
      <w:r w:rsidRPr="00826C9D">
        <w:rPr>
          <w:rFonts w:ascii="Arial" w:hAnsi="Arial"/>
          <w:i/>
          <w:iCs/>
        </w:rPr>
        <w:tab/>
        <w:t>Wartości współczynnika sezonowości w zależności od okresu  wykonywania</w:t>
      </w:r>
      <w:r w:rsidR="00F64263" w:rsidRPr="00826C9D">
        <w:rPr>
          <w:rFonts w:ascii="Arial" w:hAnsi="Arial"/>
          <w:i/>
          <w:iCs/>
        </w:rPr>
        <w:t xml:space="preserve"> </w:t>
      </w:r>
      <w:r w:rsidRPr="00826C9D">
        <w:rPr>
          <w:rFonts w:ascii="Arial" w:hAnsi="Arial"/>
          <w:i/>
          <w:iCs/>
        </w:rPr>
        <w:t xml:space="preserve">pomiarów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1985"/>
      </w:tblGrid>
      <w:tr w:rsidR="003006F5" w:rsidRPr="00826C9D" w14:paraId="03148CE6" w14:textId="77777777" w:rsidTr="00F53B90">
        <w:trPr>
          <w:jc w:val="center"/>
        </w:trPr>
        <w:tc>
          <w:tcPr>
            <w:tcW w:w="1843" w:type="dxa"/>
            <w:vAlign w:val="center"/>
          </w:tcPr>
          <w:p w14:paraId="742A6818" w14:textId="77777777" w:rsidR="003006F5" w:rsidRPr="00826C9D" w:rsidRDefault="003006F5" w:rsidP="00F53B90">
            <w:pPr>
              <w:spacing w:before="120" w:after="120"/>
              <w:jc w:val="center"/>
              <w:rPr>
                <w:rFonts w:ascii="Arial" w:hAnsi="Arial"/>
              </w:rPr>
            </w:pPr>
            <w:r w:rsidRPr="00826C9D">
              <w:rPr>
                <w:rFonts w:ascii="Arial" w:hAnsi="Arial"/>
              </w:rPr>
              <w:t>Miesiąc wykonywania pomiarów FWD</w:t>
            </w:r>
          </w:p>
        </w:tc>
        <w:tc>
          <w:tcPr>
            <w:tcW w:w="1985" w:type="dxa"/>
            <w:vAlign w:val="center"/>
          </w:tcPr>
          <w:p w14:paraId="19E8626C" w14:textId="77777777" w:rsidR="003006F5" w:rsidRPr="00826C9D" w:rsidRDefault="003006F5" w:rsidP="00F53B90">
            <w:pPr>
              <w:spacing w:before="120" w:after="120"/>
              <w:jc w:val="center"/>
              <w:rPr>
                <w:rFonts w:ascii="Arial" w:hAnsi="Arial"/>
              </w:rPr>
            </w:pPr>
            <w:r w:rsidRPr="00826C9D">
              <w:rPr>
                <w:rFonts w:ascii="Arial" w:hAnsi="Arial"/>
              </w:rPr>
              <w:t xml:space="preserve">Wartość współczynnika </w:t>
            </w:r>
            <w:proofErr w:type="spellStart"/>
            <w:r w:rsidRPr="00826C9D">
              <w:rPr>
                <w:rFonts w:ascii="Arial" w:hAnsi="Arial"/>
              </w:rPr>
              <w:t>f</w:t>
            </w:r>
            <w:r w:rsidRPr="00826C9D">
              <w:rPr>
                <w:rFonts w:ascii="Arial" w:hAnsi="Arial"/>
                <w:vertAlign w:val="subscript"/>
              </w:rPr>
              <w:t>S</w:t>
            </w:r>
            <w:proofErr w:type="spellEnd"/>
          </w:p>
        </w:tc>
      </w:tr>
      <w:tr w:rsidR="003006F5" w:rsidRPr="00826C9D" w14:paraId="01679DF6" w14:textId="77777777" w:rsidTr="00F53B90">
        <w:trPr>
          <w:jc w:val="center"/>
        </w:trPr>
        <w:tc>
          <w:tcPr>
            <w:tcW w:w="1843" w:type="dxa"/>
            <w:vAlign w:val="center"/>
          </w:tcPr>
          <w:p w14:paraId="466E07DB" w14:textId="77777777" w:rsidR="003006F5" w:rsidRPr="00826C9D" w:rsidRDefault="003006F5" w:rsidP="00F53B90">
            <w:pPr>
              <w:spacing w:before="120" w:after="120"/>
              <w:rPr>
                <w:rFonts w:ascii="Arial" w:hAnsi="Arial"/>
              </w:rPr>
            </w:pPr>
            <w:r w:rsidRPr="00826C9D">
              <w:rPr>
                <w:rFonts w:ascii="Arial" w:hAnsi="Arial"/>
              </w:rPr>
              <w:t>marzec</w:t>
            </w:r>
          </w:p>
        </w:tc>
        <w:tc>
          <w:tcPr>
            <w:tcW w:w="1985" w:type="dxa"/>
            <w:vAlign w:val="center"/>
          </w:tcPr>
          <w:p w14:paraId="06302E29" w14:textId="77777777" w:rsidR="003006F5" w:rsidRPr="00826C9D" w:rsidRDefault="003006F5" w:rsidP="00F53B90">
            <w:pPr>
              <w:spacing w:before="120" w:after="120"/>
              <w:jc w:val="center"/>
              <w:rPr>
                <w:rFonts w:ascii="Arial" w:hAnsi="Arial"/>
              </w:rPr>
            </w:pPr>
            <w:r w:rsidRPr="00826C9D">
              <w:rPr>
                <w:rFonts w:ascii="Arial" w:hAnsi="Arial"/>
              </w:rPr>
              <w:t>1,00</w:t>
            </w:r>
          </w:p>
        </w:tc>
      </w:tr>
      <w:tr w:rsidR="003006F5" w:rsidRPr="00826C9D" w14:paraId="3EBB713F" w14:textId="77777777" w:rsidTr="00F53B90">
        <w:trPr>
          <w:jc w:val="center"/>
        </w:trPr>
        <w:tc>
          <w:tcPr>
            <w:tcW w:w="1843" w:type="dxa"/>
            <w:vAlign w:val="center"/>
          </w:tcPr>
          <w:p w14:paraId="7F238948" w14:textId="77777777" w:rsidR="003006F5" w:rsidRPr="00826C9D" w:rsidRDefault="003006F5" w:rsidP="00F53B90">
            <w:pPr>
              <w:spacing w:before="120" w:after="120"/>
              <w:rPr>
                <w:rFonts w:ascii="Arial" w:hAnsi="Arial"/>
              </w:rPr>
            </w:pPr>
            <w:r w:rsidRPr="00826C9D">
              <w:rPr>
                <w:rFonts w:ascii="Arial" w:hAnsi="Arial"/>
              </w:rPr>
              <w:t>kwiecień</w:t>
            </w:r>
          </w:p>
        </w:tc>
        <w:tc>
          <w:tcPr>
            <w:tcW w:w="1985" w:type="dxa"/>
            <w:vAlign w:val="center"/>
          </w:tcPr>
          <w:p w14:paraId="115681BA" w14:textId="77777777" w:rsidR="003006F5" w:rsidRPr="00826C9D" w:rsidRDefault="003006F5" w:rsidP="00F53B90">
            <w:pPr>
              <w:spacing w:before="120" w:after="120"/>
              <w:jc w:val="center"/>
              <w:rPr>
                <w:rFonts w:ascii="Arial" w:hAnsi="Arial"/>
              </w:rPr>
            </w:pPr>
            <w:r w:rsidRPr="00826C9D">
              <w:rPr>
                <w:rFonts w:ascii="Arial" w:hAnsi="Arial"/>
              </w:rPr>
              <w:t>1,04</w:t>
            </w:r>
          </w:p>
        </w:tc>
      </w:tr>
      <w:tr w:rsidR="003006F5" w:rsidRPr="00826C9D" w14:paraId="1E08CF15" w14:textId="77777777" w:rsidTr="00F53B90">
        <w:trPr>
          <w:jc w:val="center"/>
        </w:trPr>
        <w:tc>
          <w:tcPr>
            <w:tcW w:w="1843" w:type="dxa"/>
            <w:vAlign w:val="center"/>
          </w:tcPr>
          <w:p w14:paraId="37F44BF6" w14:textId="77777777" w:rsidR="003006F5" w:rsidRPr="00826C9D" w:rsidRDefault="003006F5" w:rsidP="00F53B90">
            <w:pPr>
              <w:spacing w:before="120" w:after="120"/>
              <w:rPr>
                <w:rFonts w:ascii="Arial" w:hAnsi="Arial"/>
              </w:rPr>
            </w:pPr>
            <w:r w:rsidRPr="00826C9D">
              <w:rPr>
                <w:rFonts w:ascii="Arial" w:hAnsi="Arial"/>
              </w:rPr>
              <w:t>maj</w:t>
            </w:r>
          </w:p>
        </w:tc>
        <w:tc>
          <w:tcPr>
            <w:tcW w:w="1985" w:type="dxa"/>
            <w:vAlign w:val="center"/>
          </w:tcPr>
          <w:p w14:paraId="3213008C" w14:textId="77777777" w:rsidR="003006F5" w:rsidRPr="00826C9D" w:rsidRDefault="003006F5" w:rsidP="00F53B90">
            <w:pPr>
              <w:spacing w:before="120" w:after="120"/>
              <w:jc w:val="center"/>
              <w:rPr>
                <w:rFonts w:ascii="Arial" w:hAnsi="Arial"/>
              </w:rPr>
            </w:pPr>
            <w:r w:rsidRPr="00826C9D">
              <w:rPr>
                <w:rFonts w:ascii="Arial" w:hAnsi="Arial"/>
              </w:rPr>
              <w:t>1,08</w:t>
            </w:r>
          </w:p>
        </w:tc>
      </w:tr>
      <w:tr w:rsidR="003006F5" w:rsidRPr="00826C9D" w14:paraId="0EB2BBE4" w14:textId="77777777" w:rsidTr="00F53B90">
        <w:trPr>
          <w:jc w:val="center"/>
        </w:trPr>
        <w:tc>
          <w:tcPr>
            <w:tcW w:w="1843" w:type="dxa"/>
            <w:vAlign w:val="center"/>
          </w:tcPr>
          <w:p w14:paraId="52FD1266" w14:textId="77777777" w:rsidR="003006F5" w:rsidRPr="00826C9D" w:rsidRDefault="003006F5" w:rsidP="00F53B90">
            <w:pPr>
              <w:spacing w:before="120" w:after="120"/>
              <w:rPr>
                <w:rFonts w:ascii="Arial" w:hAnsi="Arial"/>
              </w:rPr>
            </w:pPr>
            <w:r w:rsidRPr="00826C9D">
              <w:rPr>
                <w:rFonts w:ascii="Arial" w:hAnsi="Arial"/>
              </w:rPr>
              <w:t>czerwiec</w:t>
            </w:r>
          </w:p>
        </w:tc>
        <w:tc>
          <w:tcPr>
            <w:tcW w:w="1985" w:type="dxa"/>
            <w:vAlign w:val="center"/>
          </w:tcPr>
          <w:p w14:paraId="51B7AE9E" w14:textId="77777777" w:rsidR="003006F5" w:rsidRPr="00826C9D" w:rsidRDefault="003006F5" w:rsidP="00F53B90">
            <w:pPr>
              <w:spacing w:before="120" w:after="120"/>
              <w:jc w:val="center"/>
              <w:rPr>
                <w:rFonts w:ascii="Arial" w:hAnsi="Arial"/>
              </w:rPr>
            </w:pPr>
            <w:r w:rsidRPr="00826C9D">
              <w:rPr>
                <w:rFonts w:ascii="Arial" w:hAnsi="Arial"/>
              </w:rPr>
              <w:t>1,12</w:t>
            </w:r>
          </w:p>
        </w:tc>
      </w:tr>
      <w:tr w:rsidR="003006F5" w:rsidRPr="00826C9D" w14:paraId="5D6BF237" w14:textId="77777777" w:rsidTr="00F53B90">
        <w:trPr>
          <w:jc w:val="center"/>
        </w:trPr>
        <w:tc>
          <w:tcPr>
            <w:tcW w:w="1843" w:type="dxa"/>
            <w:vAlign w:val="center"/>
          </w:tcPr>
          <w:p w14:paraId="79DEE128" w14:textId="77777777" w:rsidR="003006F5" w:rsidRPr="00826C9D" w:rsidRDefault="003006F5" w:rsidP="00F53B90">
            <w:pPr>
              <w:spacing w:before="120" w:after="120"/>
              <w:rPr>
                <w:rFonts w:ascii="Arial" w:hAnsi="Arial"/>
              </w:rPr>
            </w:pPr>
            <w:r w:rsidRPr="00826C9D">
              <w:rPr>
                <w:rFonts w:ascii="Arial" w:hAnsi="Arial"/>
              </w:rPr>
              <w:t>lipiec</w:t>
            </w:r>
          </w:p>
        </w:tc>
        <w:tc>
          <w:tcPr>
            <w:tcW w:w="1985" w:type="dxa"/>
            <w:vAlign w:val="center"/>
          </w:tcPr>
          <w:p w14:paraId="7670B8BC" w14:textId="77777777" w:rsidR="003006F5" w:rsidRPr="00826C9D" w:rsidRDefault="003006F5" w:rsidP="00F53B90">
            <w:pPr>
              <w:spacing w:before="120" w:after="120"/>
              <w:jc w:val="center"/>
              <w:rPr>
                <w:rFonts w:ascii="Arial" w:hAnsi="Arial"/>
              </w:rPr>
            </w:pPr>
            <w:r w:rsidRPr="00826C9D">
              <w:rPr>
                <w:rFonts w:ascii="Arial" w:hAnsi="Arial"/>
              </w:rPr>
              <w:t>1,15</w:t>
            </w:r>
          </w:p>
        </w:tc>
      </w:tr>
      <w:tr w:rsidR="003006F5" w:rsidRPr="00826C9D" w14:paraId="0BD74A85" w14:textId="77777777" w:rsidTr="00F53B90">
        <w:trPr>
          <w:jc w:val="center"/>
        </w:trPr>
        <w:tc>
          <w:tcPr>
            <w:tcW w:w="1843" w:type="dxa"/>
            <w:vAlign w:val="center"/>
          </w:tcPr>
          <w:p w14:paraId="113813CE" w14:textId="77777777" w:rsidR="003006F5" w:rsidRPr="00826C9D" w:rsidRDefault="003006F5" w:rsidP="00F53B90">
            <w:pPr>
              <w:spacing w:before="120" w:after="120"/>
              <w:rPr>
                <w:rFonts w:ascii="Arial" w:hAnsi="Arial"/>
              </w:rPr>
            </w:pPr>
            <w:r w:rsidRPr="00826C9D">
              <w:rPr>
                <w:rFonts w:ascii="Arial" w:hAnsi="Arial"/>
              </w:rPr>
              <w:t>sierpień</w:t>
            </w:r>
          </w:p>
        </w:tc>
        <w:tc>
          <w:tcPr>
            <w:tcW w:w="1985" w:type="dxa"/>
            <w:vAlign w:val="center"/>
          </w:tcPr>
          <w:p w14:paraId="2F5C87ED" w14:textId="77777777" w:rsidR="003006F5" w:rsidRPr="00826C9D" w:rsidRDefault="003006F5" w:rsidP="00F53B90">
            <w:pPr>
              <w:spacing w:before="120" w:after="120"/>
              <w:jc w:val="center"/>
              <w:rPr>
                <w:rFonts w:ascii="Arial" w:hAnsi="Arial"/>
              </w:rPr>
            </w:pPr>
            <w:r w:rsidRPr="00826C9D">
              <w:rPr>
                <w:rFonts w:ascii="Arial" w:hAnsi="Arial"/>
              </w:rPr>
              <w:t>1,17</w:t>
            </w:r>
          </w:p>
        </w:tc>
      </w:tr>
      <w:tr w:rsidR="003006F5" w:rsidRPr="00826C9D" w14:paraId="5E2695F7" w14:textId="77777777" w:rsidTr="00F53B90">
        <w:trPr>
          <w:jc w:val="center"/>
        </w:trPr>
        <w:tc>
          <w:tcPr>
            <w:tcW w:w="1843" w:type="dxa"/>
            <w:vAlign w:val="center"/>
          </w:tcPr>
          <w:p w14:paraId="5D52855D" w14:textId="77777777" w:rsidR="003006F5" w:rsidRPr="00826C9D" w:rsidRDefault="003006F5" w:rsidP="00F53B90">
            <w:pPr>
              <w:spacing w:before="120" w:after="120"/>
              <w:rPr>
                <w:rFonts w:ascii="Arial" w:hAnsi="Arial"/>
              </w:rPr>
            </w:pPr>
            <w:r w:rsidRPr="00826C9D">
              <w:rPr>
                <w:rFonts w:ascii="Arial" w:hAnsi="Arial"/>
              </w:rPr>
              <w:t>wrzesień</w:t>
            </w:r>
          </w:p>
        </w:tc>
        <w:tc>
          <w:tcPr>
            <w:tcW w:w="1985" w:type="dxa"/>
            <w:vAlign w:val="center"/>
          </w:tcPr>
          <w:p w14:paraId="41D331B4" w14:textId="77777777" w:rsidR="003006F5" w:rsidRPr="00826C9D" w:rsidRDefault="003006F5" w:rsidP="00F53B90">
            <w:pPr>
              <w:spacing w:before="120" w:after="120"/>
              <w:jc w:val="center"/>
              <w:rPr>
                <w:rFonts w:ascii="Arial" w:hAnsi="Arial"/>
              </w:rPr>
            </w:pPr>
            <w:r w:rsidRPr="00826C9D">
              <w:rPr>
                <w:rFonts w:ascii="Arial" w:hAnsi="Arial"/>
              </w:rPr>
              <w:t>1,20</w:t>
            </w:r>
          </w:p>
        </w:tc>
      </w:tr>
      <w:tr w:rsidR="003006F5" w:rsidRPr="00826C9D" w14:paraId="6AE688F9" w14:textId="77777777" w:rsidTr="00F53B90">
        <w:trPr>
          <w:jc w:val="center"/>
        </w:trPr>
        <w:tc>
          <w:tcPr>
            <w:tcW w:w="1843" w:type="dxa"/>
            <w:vAlign w:val="center"/>
          </w:tcPr>
          <w:p w14:paraId="0953FAD4" w14:textId="77777777" w:rsidR="003006F5" w:rsidRPr="00826C9D" w:rsidRDefault="003006F5" w:rsidP="00F53B90">
            <w:pPr>
              <w:spacing w:before="120" w:after="120"/>
              <w:rPr>
                <w:rFonts w:ascii="Arial" w:hAnsi="Arial"/>
              </w:rPr>
            </w:pPr>
            <w:r w:rsidRPr="00826C9D">
              <w:rPr>
                <w:rFonts w:ascii="Arial" w:hAnsi="Arial"/>
              </w:rPr>
              <w:t>październik</w:t>
            </w:r>
          </w:p>
        </w:tc>
        <w:tc>
          <w:tcPr>
            <w:tcW w:w="1985" w:type="dxa"/>
            <w:vAlign w:val="center"/>
          </w:tcPr>
          <w:p w14:paraId="75CA3F2D" w14:textId="77777777" w:rsidR="003006F5" w:rsidRPr="00826C9D" w:rsidRDefault="003006F5" w:rsidP="00F53B90">
            <w:pPr>
              <w:spacing w:before="120" w:after="120"/>
              <w:jc w:val="center"/>
              <w:rPr>
                <w:rFonts w:ascii="Arial" w:hAnsi="Arial"/>
              </w:rPr>
            </w:pPr>
            <w:r w:rsidRPr="00826C9D">
              <w:rPr>
                <w:rFonts w:ascii="Arial" w:hAnsi="Arial"/>
              </w:rPr>
              <w:t>1,22</w:t>
            </w:r>
          </w:p>
        </w:tc>
      </w:tr>
      <w:tr w:rsidR="003006F5" w:rsidRPr="00826C9D" w14:paraId="129E129C" w14:textId="77777777" w:rsidTr="00F53B90">
        <w:trPr>
          <w:jc w:val="center"/>
        </w:trPr>
        <w:tc>
          <w:tcPr>
            <w:tcW w:w="1843" w:type="dxa"/>
            <w:vAlign w:val="center"/>
          </w:tcPr>
          <w:p w14:paraId="29219A64" w14:textId="77777777" w:rsidR="003006F5" w:rsidRPr="00826C9D" w:rsidRDefault="003006F5" w:rsidP="00F53B90">
            <w:pPr>
              <w:spacing w:before="120" w:after="120"/>
              <w:rPr>
                <w:rFonts w:ascii="Arial" w:hAnsi="Arial"/>
              </w:rPr>
            </w:pPr>
            <w:r w:rsidRPr="00826C9D">
              <w:rPr>
                <w:rFonts w:ascii="Arial" w:hAnsi="Arial"/>
              </w:rPr>
              <w:t>listopad</w:t>
            </w:r>
          </w:p>
        </w:tc>
        <w:tc>
          <w:tcPr>
            <w:tcW w:w="1985" w:type="dxa"/>
            <w:vAlign w:val="center"/>
          </w:tcPr>
          <w:p w14:paraId="092CB165" w14:textId="77777777" w:rsidR="003006F5" w:rsidRPr="00826C9D" w:rsidRDefault="003006F5" w:rsidP="00F53B90">
            <w:pPr>
              <w:spacing w:before="120" w:after="120"/>
              <w:jc w:val="center"/>
              <w:rPr>
                <w:rFonts w:ascii="Arial" w:hAnsi="Arial"/>
              </w:rPr>
            </w:pPr>
            <w:r w:rsidRPr="00826C9D">
              <w:rPr>
                <w:rFonts w:ascii="Arial" w:hAnsi="Arial"/>
              </w:rPr>
              <w:t>1,25</w:t>
            </w:r>
          </w:p>
        </w:tc>
      </w:tr>
      <w:tr w:rsidR="003006F5" w:rsidRPr="00826C9D" w14:paraId="664D46A0" w14:textId="77777777" w:rsidTr="00F53B90">
        <w:trPr>
          <w:jc w:val="center"/>
        </w:trPr>
        <w:tc>
          <w:tcPr>
            <w:tcW w:w="1843" w:type="dxa"/>
            <w:vAlign w:val="center"/>
          </w:tcPr>
          <w:p w14:paraId="553CB6DF" w14:textId="77777777" w:rsidR="003006F5" w:rsidRPr="00826C9D" w:rsidRDefault="003006F5" w:rsidP="00F53B90">
            <w:pPr>
              <w:spacing w:before="120" w:after="120"/>
              <w:rPr>
                <w:rFonts w:ascii="Arial" w:hAnsi="Arial"/>
              </w:rPr>
            </w:pPr>
            <w:r w:rsidRPr="00826C9D">
              <w:rPr>
                <w:rFonts w:ascii="Arial" w:hAnsi="Arial"/>
              </w:rPr>
              <w:t>grudzień</w:t>
            </w:r>
          </w:p>
        </w:tc>
        <w:tc>
          <w:tcPr>
            <w:tcW w:w="1985" w:type="dxa"/>
            <w:vAlign w:val="center"/>
          </w:tcPr>
          <w:p w14:paraId="15407ECD" w14:textId="77777777" w:rsidR="003006F5" w:rsidRPr="00826C9D" w:rsidRDefault="003006F5" w:rsidP="00F53B90">
            <w:pPr>
              <w:spacing w:before="120" w:after="120"/>
              <w:jc w:val="center"/>
              <w:rPr>
                <w:rFonts w:ascii="Arial" w:hAnsi="Arial"/>
              </w:rPr>
            </w:pPr>
            <w:r w:rsidRPr="00826C9D">
              <w:rPr>
                <w:rFonts w:ascii="Arial" w:hAnsi="Arial"/>
              </w:rPr>
              <w:t>1,28</w:t>
            </w:r>
          </w:p>
        </w:tc>
      </w:tr>
    </w:tbl>
    <w:p w14:paraId="3D9B6541" w14:textId="77777777" w:rsidR="003006F5" w:rsidRPr="00826C9D" w:rsidRDefault="003006F5" w:rsidP="003006F5">
      <w:pPr>
        <w:spacing w:before="120" w:after="120"/>
        <w:jc w:val="both"/>
        <w:rPr>
          <w:rFonts w:ascii="Arial" w:hAnsi="Arial"/>
        </w:rPr>
      </w:pPr>
    </w:p>
    <w:p w14:paraId="0D88557E" w14:textId="77777777" w:rsidR="003006F5" w:rsidRPr="00826C9D" w:rsidRDefault="003006F5" w:rsidP="003006F5">
      <w:pPr>
        <w:numPr>
          <w:ilvl w:val="0"/>
          <w:numId w:val="5"/>
        </w:numPr>
        <w:spacing w:before="120" w:after="120"/>
        <w:ind w:left="284" w:hanging="284"/>
        <w:jc w:val="both"/>
        <w:rPr>
          <w:rFonts w:ascii="Arial" w:hAnsi="Arial"/>
        </w:rPr>
      </w:pPr>
      <w:r w:rsidRPr="00826C9D">
        <w:rPr>
          <w:rFonts w:ascii="Arial" w:hAnsi="Arial"/>
        </w:rPr>
        <w:t>Korekta ugięć ze względu na rodzaj podbudowy</w:t>
      </w:r>
    </w:p>
    <w:p w14:paraId="4244854F" w14:textId="77777777" w:rsidR="003006F5" w:rsidRPr="00826C9D" w:rsidRDefault="003006F5" w:rsidP="003006F5">
      <w:pPr>
        <w:spacing w:before="120" w:after="120"/>
        <w:jc w:val="both"/>
        <w:rPr>
          <w:rFonts w:ascii="Arial" w:hAnsi="Arial"/>
        </w:rPr>
      </w:pPr>
      <w:r w:rsidRPr="00826C9D">
        <w:rPr>
          <w:rFonts w:ascii="Arial" w:hAnsi="Arial"/>
        </w:rPr>
        <w:t xml:space="preserve">Współczynnik podbudowy </w:t>
      </w:r>
      <w:proofErr w:type="spellStart"/>
      <w:r w:rsidRPr="00826C9D">
        <w:rPr>
          <w:rFonts w:ascii="Arial" w:hAnsi="Arial"/>
        </w:rPr>
        <w:t>f</w:t>
      </w:r>
      <w:r w:rsidRPr="00826C9D">
        <w:rPr>
          <w:rFonts w:ascii="Arial" w:hAnsi="Arial"/>
          <w:vertAlign w:val="subscript"/>
        </w:rPr>
        <w:t>P</w:t>
      </w:r>
      <w:proofErr w:type="spellEnd"/>
      <w:r w:rsidRPr="00826C9D">
        <w:rPr>
          <w:rFonts w:ascii="Arial" w:hAnsi="Arial"/>
        </w:rPr>
        <w:t xml:space="preserve"> przedstawia się następująco:</w:t>
      </w:r>
    </w:p>
    <w:p w14:paraId="59BB0CED" w14:textId="77777777" w:rsidR="003006F5" w:rsidRPr="00826C9D" w:rsidRDefault="003006F5" w:rsidP="003006F5">
      <w:pPr>
        <w:spacing w:before="120" w:after="120"/>
        <w:rPr>
          <w:rFonts w:ascii="Arial" w:hAnsi="Arial"/>
        </w:rPr>
      </w:pPr>
      <w:r w:rsidRPr="00826C9D">
        <w:rPr>
          <w:rFonts w:ascii="Arial" w:hAnsi="Arial"/>
        </w:rPr>
        <w:t>- nawierzchnie podatne: 1,0</w:t>
      </w:r>
    </w:p>
    <w:p w14:paraId="77EBC925" w14:textId="77777777" w:rsidR="003006F5" w:rsidRPr="00826C9D" w:rsidRDefault="003006F5" w:rsidP="003006F5">
      <w:pPr>
        <w:spacing w:before="120" w:after="120"/>
        <w:rPr>
          <w:rFonts w:ascii="Arial" w:hAnsi="Arial"/>
        </w:rPr>
      </w:pPr>
      <w:r w:rsidRPr="00826C9D">
        <w:rPr>
          <w:rFonts w:ascii="Arial" w:hAnsi="Arial"/>
        </w:rPr>
        <w:t xml:space="preserve">- nawierzchnie z podbudową z kruszywa lub gruntu stabilizowanego cementem: od 1,0 do 1,1 </w:t>
      </w:r>
    </w:p>
    <w:p w14:paraId="2B90839C" w14:textId="77777777" w:rsidR="003006F5" w:rsidRPr="00826C9D" w:rsidRDefault="003006F5" w:rsidP="003006F5">
      <w:pPr>
        <w:spacing w:before="120" w:after="120"/>
        <w:rPr>
          <w:rFonts w:ascii="Arial" w:hAnsi="Arial"/>
        </w:rPr>
      </w:pPr>
      <w:r w:rsidRPr="00826C9D">
        <w:rPr>
          <w:rFonts w:ascii="Arial" w:hAnsi="Arial"/>
        </w:rPr>
        <w:t>- nawierzchnie z podbudową z chudego betonu: od 1,1 do 1,2</w:t>
      </w:r>
    </w:p>
    <w:p w14:paraId="6215B230" w14:textId="77777777" w:rsidR="003006F5" w:rsidRPr="00826C9D" w:rsidRDefault="003006F5" w:rsidP="003006F5">
      <w:pPr>
        <w:spacing w:before="120" w:after="120"/>
        <w:rPr>
          <w:rFonts w:ascii="Arial" w:hAnsi="Arial"/>
        </w:rPr>
      </w:pPr>
      <w:r w:rsidRPr="00826C9D">
        <w:rPr>
          <w:rFonts w:ascii="Arial" w:hAnsi="Arial"/>
        </w:rPr>
        <w:t>- nawierzchnie z podbudową z betonu cementowego: od 1,2 do 1,4</w:t>
      </w:r>
    </w:p>
    <w:p w14:paraId="7561D651" w14:textId="54FACD1D" w:rsidR="003006F5" w:rsidRPr="00826C9D" w:rsidRDefault="003006F5" w:rsidP="003006F5">
      <w:pPr>
        <w:spacing w:before="120" w:after="120"/>
        <w:jc w:val="both"/>
        <w:rPr>
          <w:rFonts w:ascii="Arial" w:hAnsi="Arial"/>
        </w:rPr>
      </w:pPr>
      <w:r w:rsidRPr="00826C9D">
        <w:rPr>
          <w:rFonts w:ascii="Arial" w:hAnsi="Arial"/>
        </w:rPr>
        <w:t xml:space="preserve">Większą wartość tego współczynnika zaleca się przyjmować, gdy ugięcia są mniejsze a podbudowa sztywniejsza. Dla podbudowy związanej spoiwem hydraulicznym, która uległa znacznym spękaniom zmęczeniowym, współczynnik </w:t>
      </w:r>
      <w:proofErr w:type="spellStart"/>
      <w:r w:rsidRPr="00826C9D">
        <w:rPr>
          <w:rFonts w:ascii="Arial" w:hAnsi="Arial"/>
        </w:rPr>
        <w:t>fp</w:t>
      </w:r>
      <w:proofErr w:type="spellEnd"/>
      <w:r w:rsidRPr="00826C9D">
        <w:rPr>
          <w:rFonts w:ascii="Arial" w:hAnsi="Arial"/>
        </w:rPr>
        <w:t xml:space="preserve"> jest bliski jedności. Aby dobrze oszacować wartość współczynnika </w:t>
      </w:r>
      <w:proofErr w:type="spellStart"/>
      <w:r w:rsidRPr="00826C9D">
        <w:rPr>
          <w:rFonts w:ascii="Arial" w:hAnsi="Arial"/>
        </w:rPr>
        <w:t>fp</w:t>
      </w:r>
      <w:proofErr w:type="spellEnd"/>
      <w:r w:rsidRPr="00826C9D">
        <w:rPr>
          <w:rFonts w:ascii="Arial" w:hAnsi="Arial"/>
        </w:rPr>
        <w:t>, konieczna jest, więc znajomość konstrukcji nawierzchni i ocena stanu podbudowy związanej spoiwem hydraulicznym.</w:t>
      </w:r>
    </w:p>
    <w:p w14:paraId="4567DD6F" w14:textId="77777777" w:rsidR="003006F5" w:rsidRPr="00826C9D" w:rsidRDefault="003006F5" w:rsidP="003006F5">
      <w:pPr>
        <w:spacing w:before="120" w:after="120"/>
        <w:jc w:val="both"/>
        <w:rPr>
          <w:rFonts w:ascii="Arial" w:hAnsi="Arial"/>
        </w:rPr>
      </w:pPr>
      <w:r w:rsidRPr="00826C9D">
        <w:rPr>
          <w:rFonts w:ascii="Arial" w:hAnsi="Arial"/>
          <w:b/>
          <w:u w:val="single"/>
        </w:rPr>
        <w:lastRenderedPageBreak/>
        <w:t xml:space="preserve">Miarodajny wskaźnik </w:t>
      </w:r>
      <w:r w:rsidRPr="00826C9D">
        <w:rPr>
          <w:rFonts w:ascii="Arial" w:hAnsi="Arial"/>
          <w:b/>
          <w:bCs/>
          <w:u w:val="single"/>
        </w:rPr>
        <w:t>SCI300</w:t>
      </w:r>
      <w:r w:rsidRPr="00826C9D">
        <w:rPr>
          <w:rFonts w:ascii="Arial" w:hAnsi="Arial"/>
        </w:rPr>
        <w:t xml:space="preserve"> jest obliczany jako suma wartości średniej i odchylenia standardowego wskaźników krzywizny ugięcia nawierzchni dla wyników z kilometrowego odcinka drogi. Wartość wyznacza wg wzoru:</w:t>
      </w:r>
    </w:p>
    <w:p w14:paraId="3CA6B67A" w14:textId="77777777" w:rsidR="003006F5" w:rsidRPr="00826C9D" w:rsidRDefault="003006F5" w:rsidP="003006F5">
      <w:pPr>
        <w:spacing w:before="120" w:after="120"/>
        <w:jc w:val="center"/>
        <w:rPr>
          <w:rFonts w:ascii="Arial" w:hAnsi="Arial"/>
          <w:b/>
        </w:rPr>
      </w:pPr>
    </w:p>
    <w:p w14:paraId="62B34747" w14:textId="5AFD16A4" w:rsidR="003006F5" w:rsidRPr="00826C9D" w:rsidRDefault="00C0119D" w:rsidP="003006F5">
      <w:pPr>
        <w:spacing w:before="120" w:after="120"/>
        <w:jc w:val="center"/>
        <w:rPr>
          <w:rFonts w:ascii="Arial" w:hAnsi="Arial"/>
        </w:rPr>
      </w:pPr>
      <m:oMathPara>
        <m:oMath>
          <m:r>
            <w:rPr>
              <w:rFonts w:ascii="Cambria Math" w:hAnsi="Cambria Math"/>
            </w:rPr>
            <m:t>SCI</m:t>
          </m:r>
          <m:r>
            <m:rPr>
              <m:sty m:val="p"/>
            </m:rPr>
            <w:rPr>
              <w:rFonts w:ascii="Cambria Math" w:hAnsi="Cambria Math"/>
            </w:rPr>
            <m:t>300=</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sci</m:t>
                      </m:r>
                    </m:e>
                    <m:sub>
                      <m:r>
                        <w:rPr>
                          <w:rFonts w:ascii="Cambria Math" w:hAnsi="Cambria Math"/>
                        </w:rPr>
                        <m:t>i</m:t>
                      </m:r>
                    </m:sub>
                  </m:sSub>
                </m:e>
              </m:nary>
            </m:num>
            <m:den>
              <m:r>
                <w:rPr>
                  <w:rFonts w:ascii="Cambria Math" w:hAnsi="Cambria Math"/>
                </w:rPr>
                <m:t>n</m:t>
              </m:r>
            </m:den>
          </m:f>
          <m:r>
            <m:rPr>
              <m:sty m:val="p"/>
            </m:rPr>
            <w:rPr>
              <w:rFonts w:ascii="Cambria Math" w:hAnsi="Cambria Math"/>
            </w:rPr>
            <m:t>+</m:t>
          </m:r>
          <m:r>
            <w:rPr>
              <w:rFonts w:ascii="Cambria Math" w:hAnsi="Cambria Math"/>
            </w:rPr>
            <m:t>Dsci</m:t>
          </m:r>
        </m:oMath>
      </m:oMathPara>
    </w:p>
    <w:p w14:paraId="12C24A49" w14:textId="77777777" w:rsidR="003006F5" w:rsidRPr="00826C9D" w:rsidRDefault="003006F5" w:rsidP="003006F5">
      <w:pPr>
        <w:spacing w:before="120" w:after="120"/>
        <w:rPr>
          <w:rFonts w:ascii="Arial" w:hAnsi="Arial"/>
        </w:rPr>
      </w:pPr>
      <w:r w:rsidRPr="00826C9D">
        <w:rPr>
          <w:rFonts w:ascii="Arial" w:hAnsi="Arial"/>
        </w:rPr>
        <w:t>gdzie:</w:t>
      </w:r>
    </w:p>
    <w:p w14:paraId="42A87DAE" w14:textId="77777777" w:rsidR="003006F5" w:rsidRPr="00826C9D" w:rsidRDefault="003006F5" w:rsidP="003006F5">
      <w:pPr>
        <w:tabs>
          <w:tab w:val="left" w:pos="851"/>
        </w:tabs>
        <w:spacing w:before="120" w:after="120"/>
        <w:rPr>
          <w:rFonts w:ascii="Arial" w:hAnsi="Arial"/>
        </w:rPr>
      </w:pPr>
      <w:r w:rsidRPr="00826C9D">
        <w:rPr>
          <w:rFonts w:ascii="Arial" w:hAnsi="Arial"/>
        </w:rPr>
        <w:t>SCI300</w:t>
      </w:r>
      <w:r w:rsidRPr="00826C9D">
        <w:rPr>
          <w:rFonts w:ascii="Arial" w:hAnsi="Arial"/>
        </w:rPr>
        <w:tab/>
        <w:t>– miarodajny wskaźnik krzywizny ugięcia,</w:t>
      </w:r>
    </w:p>
    <w:p w14:paraId="54EA47AA" w14:textId="77777777" w:rsidR="003006F5" w:rsidRPr="00826C9D" w:rsidRDefault="003006F5" w:rsidP="003006F5">
      <w:pPr>
        <w:tabs>
          <w:tab w:val="left" w:pos="851"/>
        </w:tabs>
        <w:spacing w:before="120" w:after="120"/>
        <w:ind w:left="993" w:hanging="993"/>
        <w:rPr>
          <w:rFonts w:ascii="Arial" w:hAnsi="Arial"/>
        </w:rPr>
      </w:pPr>
      <w:proofErr w:type="spellStart"/>
      <w:r w:rsidRPr="00826C9D">
        <w:rPr>
          <w:rFonts w:ascii="Arial" w:hAnsi="Arial"/>
        </w:rPr>
        <w:t>sci</w:t>
      </w:r>
      <w:proofErr w:type="spellEnd"/>
      <w:r w:rsidRPr="00826C9D">
        <w:rPr>
          <w:rFonts w:ascii="Arial" w:hAnsi="Arial"/>
        </w:rPr>
        <w:tab/>
        <w:t>– standaryzowana wartość pojedynczego pomiaru wskaźnika krzywizny ugięcia,</w:t>
      </w:r>
    </w:p>
    <w:p w14:paraId="3ACC1B3A" w14:textId="77777777" w:rsidR="003006F5" w:rsidRPr="00826C9D" w:rsidRDefault="003006F5" w:rsidP="003006F5">
      <w:pPr>
        <w:tabs>
          <w:tab w:val="left" w:pos="851"/>
        </w:tabs>
        <w:spacing w:before="120" w:after="120"/>
        <w:rPr>
          <w:rFonts w:ascii="Arial" w:hAnsi="Arial"/>
        </w:rPr>
      </w:pPr>
      <w:r w:rsidRPr="00826C9D">
        <w:rPr>
          <w:rFonts w:ascii="Arial" w:hAnsi="Arial"/>
        </w:rPr>
        <w:t>n</w:t>
      </w:r>
      <w:r w:rsidRPr="00826C9D">
        <w:rPr>
          <w:rFonts w:ascii="Arial" w:hAnsi="Arial"/>
        </w:rPr>
        <w:tab/>
        <w:t>– liczba ugięć standaryzowanych na odcinku.</w:t>
      </w:r>
    </w:p>
    <w:p w14:paraId="433D4B13" w14:textId="77777777" w:rsidR="003006F5" w:rsidRPr="00826C9D" w:rsidRDefault="003006F5" w:rsidP="003006F5">
      <w:pPr>
        <w:tabs>
          <w:tab w:val="left" w:pos="851"/>
        </w:tabs>
        <w:spacing w:before="120" w:after="120"/>
        <w:ind w:left="993" w:hanging="993"/>
        <w:rPr>
          <w:rFonts w:ascii="Arial" w:hAnsi="Arial"/>
        </w:rPr>
      </w:pPr>
      <w:proofErr w:type="spellStart"/>
      <w:r w:rsidRPr="00826C9D">
        <w:rPr>
          <w:rFonts w:ascii="Arial" w:hAnsi="Arial"/>
        </w:rPr>
        <w:t>Dsci</w:t>
      </w:r>
      <w:proofErr w:type="spellEnd"/>
      <w:r w:rsidRPr="00826C9D">
        <w:rPr>
          <w:rFonts w:ascii="Arial" w:hAnsi="Arial"/>
        </w:rPr>
        <w:tab/>
        <w:t>– odchylenie standardowe standaryzowanych wartości pojedynczych pomiarów wskaźnika krzywizny ugięcia na odcinku miarodajnym.</w:t>
      </w:r>
    </w:p>
    <w:p w14:paraId="2175EAED" w14:textId="77777777" w:rsidR="003006F5" w:rsidRPr="00826C9D" w:rsidRDefault="003006F5" w:rsidP="003006F5">
      <w:pPr>
        <w:tabs>
          <w:tab w:val="left" w:pos="851"/>
        </w:tabs>
        <w:spacing w:before="120" w:after="120"/>
        <w:rPr>
          <w:rFonts w:ascii="Arial" w:hAnsi="Arial"/>
        </w:rPr>
      </w:pPr>
      <w:r w:rsidRPr="00826C9D">
        <w:rPr>
          <w:rFonts w:ascii="Arial" w:hAnsi="Arial"/>
        </w:rPr>
        <w:t xml:space="preserve">Standaryzowana wartość pojedynczego pomiaru wskaźnika krzywizny ugięcia </w:t>
      </w:r>
      <w:proofErr w:type="spellStart"/>
      <w:r w:rsidRPr="00826C9D">
        <w:rPr>
          <w:rFonts w:ascii="Arial" w:hAnsi="Arial"/>
        </w:rPr>
        <w:t>sci</w:t>
      </w:r>
      <w:proofErr w:type="spellEnd"/>
      <w:r w:rsidRPr="00826C9D">
        <w:rPr>
          <w:rFonts w:ascii="Arial" w:hAnsi="Arial"/>
        </w:rPr>
        <w:t>:</w:t>
      </w:r>
    </w:p>
    <w:p w14:paraId="43C24377" w14:textId="77777777" w:rsidR="003006F5" w:rsidRPr="00826C9D" w:rsidRDefault="003006F5" w:rsidP="003006F5">
      <w:pPr>
        <w:spacing w:before="120" w:after="120"/>
        <w:ind w:left="284"/>
        <w:jc w:val="center"/>
        <w:rPr>
          <w:rFonts w:ascii="Arial" w:hAnsi="Arial"/>
        </w:rPr>
      </w:pPr>
      <w:proofErr w:type="spellStart"/>
      <w:r w:rsidRPr="00826C9D">
        <w:rPr>
          <w:rFonts w:ascii="Arial" w:hAnsi="Arial"/>
        </w:rPr>
        <w:t>sci</w:t>
      </w:r>
      <w:proofErr w:type="spellEnd"/>
      <w:r w:rsidRPr="00826C9D">
        <w:rPr>
          <w:rFonts w:ascii="Arial" w:hAnsi="Arial"/>
        </w:rPr>
        <w:t xml:space="preserve"> = D0 - D300</w:t>
      </w:r>
    </w:p>
    <w:p w14:paraId="0EA2FD02" w14:textId="77777777" w:rsidR="003006F5" w:rsidRPr="00826C9D" w:rsidRDefault="003006F5" w:rsidP="003006F5">
      <w:pPr>
        <w:spacing w:before="120" w:after="120"/>
        <w:jc w:val="both"/>
        <w:rPr>
          <w:rFonts w:ascii="Arial" w:hAnsi="Arial"/>
        </w:rPr>
      </w:pPr>
      <w:r w:rsidRPr="00826C9D">
        <w:rPr>
          <w:rFonts w:ascii="Arial" w:hAnsi="Arial"/>
        </w:rPr>
        <w:t xml:space="preserve">gdzie: </w:t>
      </w:r>
    </w:p>
    <w:p w14:paraId="1DD0E1DD" w14:textId="77777777" w:rsidR="003006F5" w:rsidRPr="00826C9D" w:rsidRDefault="003006F5" w:rsidP="003006F5">
      <w:pPr>
        <w:tabs>
          <w:tab w:val="left" w:pos="851"/>
        </w:tabs>
        <w:spacing w:before="120" w:after="120"/>
        <w:rPr>
          <w:rFonts w:ascii="Arial" w:hAnsi="Arial"/>
        </w:rPr>
      </w:pPr>
      <w:r w:rsidRPr="00826C9D">
        <w:rPr>
          <w:rFonts w:ascii="Arial" w:hAnsi="Arial"/>
        </w:rPr>
        <w:t>D0</w:t>
      </w:r>
      <w:r w:rsidRPr="00826C9D">
        <w:rPr>
          <w:rFonts w:ascii="Arial" w:hAnsi="Arial"/>
        </w:rPr>
        <w:tab/>
        <w:t>– ugięcie w punkcie centralnym,</w:t>
      </w:r>
    </w:p>
    <w:p w14:paraId="71758E3C" w14:textId="77777777" w:rsidR="003006F5" w:rsidRPr="00826C9D" w:rsidRDefault="003006F5" w:rsidP="003006F5">
      <w:pPr>
        <w:tabs>
          <w:tab w:val="left" w:pos="851"/>
        </w:tabs>
        <w:spacing w:before="120" w:after="120"/>
        <w:rPr>
          <w:rFonts w:ascii="Arial" w:hAnsi="Arial"/>
        </w:rPr>
      </w:pPr>
      <w:r w:rsidRPr="00826C9D">
        <w:rPr>
          <w:rFonts w:ascii="Arial" w:hAnsi="Arial"/>
        </w:rPr>
        <w:t>D300</w:t>
      </w:r>
      <w:r w:rsidRPr="00826C9D">
        <w:rPr>
          <w:rFonts w:ascii="Arial" w:hAnsi="Arial"/>
        </w:rPr>
        <w:tab/>
        <w:t xml:space="preserve">– ugięcie w punkcie oddalonym o </w:t>
      </w:r>
      <w:smartTag w:uri="urn:schemas-microsoft-com:office:smarttags" w:element="metricconverter">
        <w:smartTagPr>
          <w:attr w:name="ProductID" w:val="300 mm"/>
        </w:smartTagPr>
        <w:r w:rsidRPr="00826C9D">
          <w:rPr>
            <w:rFonts w:ascii="Arial" w:hAnsi="Arial"/>
          </w:rPr>
          <w:t>300 mm</w:t>
        </w:r>
      </w:smartTag>
      <w:r w:rsidRPr="00826C9D">
        <w:rPr>
          <w:rFonts w:ascii="Arial" w:hAnsi="Arial"/>
        </w:rPr>
        <w:t xml:space="preserve"> od punktu centralnego.</w:t>
      </w:r>
    </w:p>
    <w:p w14:paraId="45DE816B" w14:textId="77777777" w:rsidR="003006F5" w:rsidRPr="00826C9D" w:rsidRDefault="003006F5" w:rsidP="003006F5">
      <w:pPr>
        <w:spacing w:before="120" w:after="120"/>
        <w:jc w:val="both"/>
        <w:rPr>
          <w:rFonts w:ascii="Arial" w:hAnsi="Arial"/>
        </w:rPr>
      </w:pPr>
      <w:r w:rsidRPr="00826C9D">
        <w:rPr>
          <w:rFonts w:ascii="Arial" w:hAnsi="Arial"/>
        </w:rPr>
        <w:t>Wynik obliczeń zaokrągla się zgodnie z ogólnymi zasadami.</w:t>
      </w:r>
    </w:p>
    <w:p w14:paraId="0417B5D3" w14:textId="77777777" w:rsidR="003006F5" w:rsidRPr="00826C9D" w:rsidRDefault="003006F5" w:rsidP="003006F5">
      <w:pPr>
        <w:spacing w:before="120" w:after="120"/>
        <w:jc w:val="both"/>
        <w:rPr>
          <w:rFonts w:ascii="Arial" w:hAnsi="Arial"/>
        </w:rPr>
      </w:pPr>
    </w:p>
    <w:p w14:paraId="1CA70BDD" w14:textId="77777777" w:rsidR="003006F5" w:rsidRPr="00826C9D" w:rsidRDefault="003006F5" w:rsidP="00F64263">
      <w:pPr>
        <w:spacing w:before="120" w:after="120"/>
        <w:jc w:val="both"/>
        <w:rPr>
          <w:rFonts w:ascii="Arial" w:hAnsi="Arial"/>
        </w:rPr>
      </w:pPr>
      <w:r w:rsidRPr="00826C9D">
        <w:rPr>
          <w:rFonts w:ascii="Arial" w:hAnsi="Arial"/>
        </w:rPr>
        <w:t>W przypadkach szczególnych (wystąpienie uszkodzeń nawierzchni typu: spękania, koleiny, nierówności czy też przekroczenie wymaganych wartości przez którykolwiek ze wskaźników) dopuszcza się przeprowadzenie dokładnych analiz i badań w oparciu o dane szczegółowe (grubości warstw konstrukcji, ilości osi obliczeniowych itp.) w celu wyznaczenia rzeczywistej pozostałej trwałości zmęczeniowej nawierzchni.</w:t>
      </w:r>
    </w:p>
    <w:p w14:paraId="4F7ED734" w14:textId="77777777" w:rsidR="003006F5" w:rsidRPr="00826C9D" w:rsidRDefault="00F64263" w:rsidP="00C0119D">
      <w:pPr>
        <w:pStyle w:val="Nagwek2"/>
        <w:numPr>
          <w:ilvl w:val="0"/>
          <w:numId w:val="26"/>
        </w:numPr>
        <w:rPr>
          <w:rFonts w:cs="Arial"/>
          <w:szCs w:val="20"/>
        </w:rPr>
      </w:pPr>
      <w:r w:rsidRPr="00826C9D">
        <w:rPr>
          <w:rFonts w:cs="Arial"/>
          <w:szCs w:val="20"/>
        </w:rPr>
        <w:br w:type="page"/>
      </w:r>
      <w:bookmarkStart w:id="40" w:name="_Toc198211972"/>
      <w:bookmarkStart w:id="41" w:name="_Toc218669631"/>
      <w:r w:rsidR="003006F5" w:rsidRPr="00826C9D">
        <w:rPr>
          <w:rFonts w:cs="Arial"/>
          <w:szCs w:val="20"/>
        </w:rPr>
        <w:lastRenderedPageBreak/>
        <w:t>EKRANY AKUSTYCZNE</w:t>
      </w:r>
      <w:bookmarkEnd w:id="40"/>
      <w:bookmarkEnd w:id="41"/>
    </w:p>
    <w:p w14:paraId="5012CF64" w14:textId="390332BF" w:rsidR="003006F5" w:rsidRPr="00826C9D" w:rsidRDefault="003006F5" w:rsidP="003006F5">
      <w:pPr>
        <w:spacing w:before="120" w:after="120"/>
        <w:jc w:val="both"/>
        <w:rPr>
          <w:rFonts w:ascii="Arial" w:hAnsi="Arial"/>
        </w:rPr>
      </w:pPr>
      <w:r w:rsidRPr="00826C9D">
        <w:rPr>
          <w:rFonts w:ascii="Arial" w:hAnsi="Arial"/>
        </w:rPr>
        <w:t>[</w:t>
      </w:r>
      <w:r w:rsidR="00650008" w:rsidRPr="00650008">
        <w:rPr>
          <w:rFonts w:ascii="Arial" w:hAnsi="Arial"/>
          <w:b/>
          <w:i/>
        </w:rPr>
        <w:t>minimum</w:t>
      </w:r>
      <w:r w:rsidR="00650008" w:rsidRPr="00650008">
        <w:rPr>
          <w:rFonts w:ascii="Arial" w:hAnsi="Arial"/>
          <w:i/>
        </w:rPr>
        <w:t xml:space="preserve"> </w:t>
      </w:r>
      <w:r w:rsidR="005A2D97">
        <w:rPr>
          <w:rFonts w:ascii="Arial" w:hAnsi="Arial"/>
          <w:b/>
          <w:i/>
        </w:rPr>
        <w:t>60</w:t>
      </w:r>
      <w:r w:rsidRPr="00826C9D">
        <w:rPr>
          <w:rFonts w:ascii="Arial" w:hAnsi="Arial"/>
        </w:rPr>
        <w:t xml:space="preserve">] </w:t>
      </w:r>
      <w:r w:rsidRPr="00826C9D">
        <w:rPr>
          <w:rFonts w:ascii="Arial" w:hAnsi="Arial"/>
          <w:b/>
        </w:rPr>
        <w:t>miesięcy</w:t>
      </w:r>
      <w:r w:rsidRPr="00826C9D">
        <w:rPr>
          <w:rFonts w:ascii="Arial" w:hAnsi="Arial"/>
        </w:rPr>
        <w:t xml:space="preserve"> gwarancji zgodnie z Ofertą Wykonawcy.</w:t>
      </w:r>
    </w:p>
    <w:p w14:paraId="7CAAFF93" w14:textId="444BF700" w:rsidR="003006F5" w:rsidRPr="00826C9D" w:rsidRDefault="003006F5" w:rsidP="00826C9D">
      <w:pPr>
        <w:pStyle w:val="Nagwek3"/>
        <w:numPr>
          <w:ilvl w:val="0"/>
          <w:numId w:val="39"/>
        </w:numPr>
      </w:pPr>
      <w:bookmarkStart w:id="42" w:name="_Toc218669632"/>
      <w:r w:rsidRPr="00826C9D">
        <w:t>Wypełnienia przezroczyste</w:t>
      </w:r>
      <w:bookmarkEnd w:id="42"/>
    </w:p>
    <w:p w14:paraId="471B98D9" w14:textId="77777777" w:rsidR="003006F5" w:rsidRPr="00826C9D" w:rsidRDefault="003006F5" w:rsidP="003006F5">
      <w:pPr>
        <w:spacing w:before="120" w:after="120"/>
        <w:rPr>
          <w:rFonts w:ascii="Arial" w:hAnsi="Arial"/>
          <w:b/>
        </w:rPr>
      </w:pPr>
      <w:r w:rsidRPr="00826C9D">
        <w:rPr>
          <w:rFonts w:ascii="Arial" w:hAnsi="Arial"/>
        </w:rPr>
        <w:t>Wypełnienia przezroczyste z płyt ze szkła akrylowego (z polimetakrylanu metylu), poliwęglanu lub szkła hartowanego.</w:t>
      </w:r>
    </w:p>
    <w:p w14:paraId="08C38CC9" w14:textId="77777777" w:rsidR="003006F5" w:rsidRPr="00826C9D" w:rsidRDefault="003006F5" w:rsidP="00C0119D">
      <w:pPr>
        <w:numPr>
          <w:ilvl w:val="0"/>
          <w:numId w:val="27"/>
        </w:numPr>
        <w:spacing w:before="120" w:after="120"/>
        <w:jc w:val="both"/>
        <w:rPr>
          <w:rFonts w:ascii="Arial" w:hAnsi="Arial"/>
        </w:rPr>
      </w:pPr>
      <w:r w:rsidRPr="00826C9D">
        <w:rPr>
          <w:rFonts w:ascii="Arial" w:hAnsi="Arial"/>
        </w:rPr>
        <w:t>Wskaźniki:</w:t>
      </w:r>
    </w:p>
    <w:p w14:paraId="50FCA73A"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będą następujące parametry płyt: </w:t>
      </w:r>
    </w:p>
    <w:p w14:paraId="07A83C5B" w14:textId="77777777" w:rsidR="003006F5" w:rsidRPr="00826C9D" w:rsidRDefault="003006F5" w:rsidP="003006F5">
      <w:pPr>
        <w:numPr>
          <w:ilvl w:val="0"/>
          <w:numId w:val="5"/>
        </w:numPr>
        <w:spacing w:before="120" w:after="120"/>
        <w:ind w:left="993" w:hanging="284"/>
        <w:jc w:val="both"/>
        <w:rPr>
          <w:rFonts w:ascii="Arial" w:hAnsi="Arial"/>
        </w:rPr>
      </w:pPr>
      <w:r w:rsidRPr="00826C9D">
        <w:rPr>
          <w:rFonts w:ascii="Arial" w:hAnsi="Arial"/>
        </w:rPr>
        <w:t>zachowanie transmisji światła,</w:t>
      </w:r>
    </w:p>
    <w:p w14:paraId="5C203231" w14:textId="77777777" w:rsidR="003006F5" w:rsidRPr="00826C9D" w:rsidRDefault="003006F5" w:rsidP="003006F5">
      <w:pPr>
        <w:numPr>
          <w:ilvl w:val="0"/>
          <w:numId w:val="5"/>
        </w:numPr>
        <w:spacing w:before="120" w:after="120"/>
        <w:ind w:left="993" w:hanging="284"/>
        <w:jc w:val="both"/>
        <w:rPr>
          <w:rFonts w:ascii="Arial" w:hAnsi="Arial"/>
        </w:rPr>
      </w:pPr>
      <w:r w:rsidRPr="00826C9D">
        <w:rPr>
          <w:rFonts w:ascii="Arial" w:hAnsi="Arial"/>
        </w:rPr>
        <w:t>zachowanie trwałości elementów naklejanych, nadrukowanych lub wtopionych, zabezpieczających przed kolizją z awifauną,</w:t>
      </w:r>
    </w:p>
    <w:p w14:paraId="5A327869" w14:textId="77777777" w:rsidR="003006F5" w:rsidRPr="00826C9D" w:rsidRDefault="003006F5" w:rsidP="003006F5">
      <w:pPr>
        <w:numPr>
          <w:ilvl w:val="0"/>
          <w:numId w:val="5"/>
        </w:numPr>
        <w:spacing w:before="120" w:after="120"/>
        <w:ind w:left="993" w:hanging="284"/>
        <w:jc w:val="both"/>
        <w:rPr>
          <w:rFonts w:ascii="Arial" w:hAnsi="Arial"/>
        </w:rPr>
      </w:pPr>
      <w:r w:rsidRPr="00826C9D">
        <w:rPr>
          <w:rFonts w:ascii="Arial" w:hAnsi="Arial"/>
        </w:rPr>
        <w:t>szczelności konstrukcji - należy zwrócić uwagę na umocowanie płyty przezroczystej w ramie i jej uszczelnienie oraz posadowienie ramy pomiędzy słupami.</w:t>
      </w:r>
    </w:p>
    <w:p w14:paraId="5D424296" w14:textId="77777777" w:rsidR="003006F5" w:rsidRPr="00826C9D" w:rsidRDefault="003006F5" w:rsidP="00C0119D">
      <w:pPr>
        <w:numPr>
          <w:ilvl w:val="0"/>
          <w:numId w:val="27"/>
        </w:numPr>
        <w:spacing w:before="120" w:after="120"/>
        <w:jc w:val="both"/>
        <w:rPr>
          <w:rFonts w:ascii="Arial" w:hAnsi="Arial"/>
        </w:rPr>
      </w:pPr>
      <w:r w:rsidRPr="00826C9D">
        <w:rPr>
          <w:rFonts w:ascii="Arial" w:hAnsi="Arial"/>
        </w:rPr>
        <w:t>Dopuszczalne formy uszkodzeń i nieprawidłowości określane na podstawie oceny wizualnej:</w:t>
      </w:r>
    </w:p>
    <w:p w14:paraId="52016AA7" w14:textId="77777777" w:rsidR="003006F5" w:rsidRPr="00826C9D" w:rsidRDefault="003006F5" w:rsidP="00C0119D">
      <w:pPr>
        <w:numPr>
          <w:ilvl w:val="0"/>
          <w:numId w:val="6"/>
        </w:numPr>
        <w:spacing w:before="120" w:after="120"/>
        <w:ind w:left="993" w:hanging="284"/>
        <w:jc w:val="both"/>
        <w:rPr>
          <w:rFonts w:ascii="Arial" w:hAnsi="Arial"/>
        </w:rPr>
      </w:pPr>
      <w:r w:rsidRPr="00826C9D">
        <w:rPr>
          <w:rFonts w:ascii="Arial" w:hAnsi="Arial"/>
        </w:rPr>
        <w:t>odbarwienia i zarysowania wynikające z użytkowania, które nie wpływają na obniżenie szczelności wypełnienia,</w:t>
      </w:r>
    </w:p>
    <w:p w14:paraId="1B6573AB" w14:textId="77777777" w:rsidR="003006F5" w:rsidRPr="00826C9D" w:rsidRDefault="003006F5" w:rsidP="00C0119D">
      <w:pPr>
        <w:numPr>
          <w:ilvl w:val="0"/>
          <w:numId w:val="6"/>
        </w:numPr>
        <w:spacing w:before="120" w:after="120"/>
        <w:ind w:left="993" w:hanging="284"/>
        <w:jc w:val="both"/>
        <w:rPr>
          <w:rFonts w:ascii="Arial" w:hAnsi="Arial"/>
        </w:rPr>
      </w:pPr>
      <w:r w:rsidRPr="00826C9D">
        <w:rPr>
          <w:rFonts w:ascii="Arial" w:hAnsi="Arial"/>
        </w:rPr>
        <w:t>zmatowienia powierzchni powodujące obniżenie przepuszczalności światła – dopuszczalna jest utrata przejrzystości na powierzchni do 20% danego elementu (płyty),</w:t>
      </w:r>
    </w:p>
    <w:p w14:paraId="1E132949" w14:textId="77777777" w:rsidR="003006F5" w:rsidRPr="00826C9D" w:rsidRDefault="003006F5" w:rsidP="00C0119D">
      <w:pPr>
        <w:numPr>
          <w:ilvl w:val="0"/>
          <w:numId w:val="6"/>
        </w:numPr>
        <w:spacing w:before="120" w:after="120"/>
        <w:ind w:left="993" w:hanging="284"/>
        <w:jc w:val="both"/>
        <w:rPr>
          <w:rFonts w:ascii="Arial" w:hAnsi="Arial"/>
        </w:rPr>
      </w:pPr>
      <w:r w:rsidRPr="00826C9D">
        <w:rPr>
          <w:rFonts w:ascii="Arial" w:hAnsi="Arial"/>
        </w:rPr>
        <w:t xml:space="preserve">rozchylenie, rozejście i przesunięcia (pionowe i poziome) płyt względem siebie powodujące powstanie nieszczelności między poszczególnymi elementami o szerokości nie większej niż </w:t>
      </w:r>
      <w:smartTag w:uri="urn:schemas-microsoft-com:office:smarttags" w:element="metricconverter">
        <w:smartTagPr>
          <w:attr w:name="ProductID" w:val="1 cm"/>
        </w:smartTagPr>
        <w:r w:rsidRPr="00826C9D">
          <w:rPr>
            <w:rFonts w:ascii="Arial" w:hAnsi="Arial"/>
          </w:rPr>
          <w:t>1 cm</w:t>
        </w:r>
      </w:smartTag>
      <w:r w:rsidRPr="00826C9D">
        <w:rPr>
          <w:rFonts w:ascii="Arial" w:hAnsi="Arial"/>
        </w:rPr>
        <w:t>, o ile nie będzie powodować zagrożenia wypadnięciem elementu z ramy oraz zostanie uszczelniona w sposób zapewniający odpowiednią skuteczność akustyczną ekranu,</w:t>
      </w:r>
    </w:p>
    <w:p w14:paraId="602397E8" w14:textId="77777777" w:rsidR="003006F5" w:rsidRPr="00826C9D" w:rsidRDefault="003006F5" w:rsidP="00C0119D">
      <w:pPr>
        <w:numPr>
          <w:ilvl w:val="0"/>
          <w:numId w:val="6"/>
        </w:numPr>
        <w:spacing w:before="120" w:after="120"/>
        <w:ind w:left="993" w:hanging="284"/>
        <w:jc w:val="both"/>
        <w:rPr>
          <w:rFonts w:ascii="Arial" w:hAnsi="Arial"/>
        </w:rPr>
      </w:pPr>
      <w:r w:rsidRPr="00826C9D">
        <w:rPr>
          <w:rFonts w:ascii="Arial" w:hAnsi="Arial"/>
        </w:rPr>
        <w:t>deformacja płaszczyzny płyt przezroczystych – dopuszczalne jest 5% deformacja powierzchni płyty, o ile nie będzie ona powodowała utraty szczelności elementu oraz zagrożenia wypadnięcia elementu,</w:t>
      </w:r>
    </w:p>
    <w:p w14:paraId="50877692" w14:textId="77777777" w:rsidR="003006F5" w:rsidRPr="00826C9D" w:rsidRDefault="003006F5" w:rsidP="00C0119D">
      <w:pPr>
        <w:numPr>
          <w:ilvl w:val="0"/>
          <w:numId w:val="6"/>
        </w:numPr>
        <w:spacing w:before="120" w:after="120"/>
        <w:ind w:left="993" w:hanging="284"/>
        <w:jc w:val="both"/>
        <w:rPr>
          <w:rFonts w:ascii="Arial" w:hAnsi="Arial"/>
        </w:rPr>
      </w:pPr>
      <w:r w:rsidRPr="00826C9D">
        <w:rPr>
          <w:rFonts w:ascii="Arial" w:hAnsi="Arial"/>
        </w:rPr>
        <w:t>powstanie nieszczelności na styku płyty wypełniającej i ramy poprzez brak uszczelek, nie dopuszcza się ubytków uszczelnienia ramy.</w:t>
      </w:r>
    </w:p>
    <w:p w14:paraId="77DCB054" w14:textId="3DC9C603" w:rsidR="003006F5" w:rsidRPr="00826C9D" w:rsidRDefault="003006F5" w:rsidP="00826C9D">
      <w:pPr>
        <w:pStyle w:val="Nagwek3"/>
        <w:numPr>
          <w:ilvl w:val="0"/>
          <w:numId w:val="39"/>
        </w:numPr>
      </w:pPr>
      <w:bookmarkStart w:id="43" w:name="_Toc218669633"/>
      <w:r w:rsidRPr="00826C9D">
        <w:t>Wypełnienia nieprzezroczyste</w:t>
      </w:r>
      <w:bookmarkEnd w:id="43"/>
    </w:p>
    <w:p w14:paraId="686578EE" w14:textId="77777777" w:rsidR="003006F5" w:rsidRPr="00826C9D" w:rsidRDefault="003006F5" w:rsidP="00C0119D">
      <w:pPr>
        <w:numPr>
          <w:ilvl w:val="2"/>
          <w:numId w:val="26"/>
        </w:numPr>
        <w:spacing w:before="120" w:after="120"/>
        <w:ind w:left="709" w:hanging="709"/>
        <w:rPr>
          <w:rFonts w:ascii="Arial" w:hAnsi="Arial"/>
        </w:rPr>
      </w:pPr>
      <w:r w:rsidRPr="00826C9D">
        <w:rPr>
          <w:rFonts w:ascii="Arial" w:hAnsi="Arial"/>
        </w:rPr>
        <w:t>Wypełnienia nieprzezroczyste z kaset aluminiowych lub stalowych znajdujących się w ekranach o konstrukcji szkieletowej.</w:t>
      </w:r>
    </w:p>
    <w:p w14:paraId="17DD2A64" w14:textId="77777777" w:rsidR="003006F5" w:rsidRPr="00826C9D" w:rsidRDefault="003006F5" w:rsidP="00C0119D">
      <w:pPr>
        <w:numPr>
          <w:ilvl w:val="0"/>
          <w:numId w:val="28"/>
        </w:numPr>
        <w:spacing w:before="120" w:after="120"/>
        <w:jc w:val="both"/>
        <w:rPr>
          <w:rFonts w:ascii="Arial" w:hAnsi="Arial"/>
        </w:rPr>
      </w:pPr>
      <w:r w:rsidRPr="00826C9D">
        <w:rPr>
          <w:rFonts w:ascii="Arial" w:hAnsi="Arial"/>
        </w:rPr>
        <w:t>Wskaźniki:</w:t>
      </w:r>
    </w:p>
    <w:p w14:paraId="1AAFEF55"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będzie: </w:t>
      </w:r>
    </w:p>
    <w:p w14:paraId="6A7D61C6" w14:textId="77777777" w:rsidR="003006F5" w:rsidRPr="00826C9D" w:rsidRDefault="003006F5" w:rsidP="00C0119D">
      <w:pPr>
        <w:numPr>
          <w:ilvl w:val="0"/>
          <w:numId w:val="7"/>
        </w:numPr>
        <w:spacing w:before="120" w:after="120"/>
        <w:ind w:left="993" w:hanging="284"/>
        <w:jc w:val="both"/>
        <w:rPr>
          <w:rFonts w:ascii="Arial" w:hAnsi="Arial"/>
        </w:rPr>
      </w:pPr>
      <w:r w:rsidRPr="00826C9D">
        <w:rPr>
          <w:rFonts w:ascii="Arial" w:hAnsi="Arial"/>
        </w:rPr>
        <w:t>stan powłoki zabezpieczającej,</w:t>
      </w:r>
    </w:p>
    <w:p w14:paraId="671CD739" w14:textId="77777777" w:rsidR="003006F5" w:rsidRPr="00826C9D" w:rsidRDefault="003006F5" w:rsidP="00C0119D">
      <w:pPr>
        <w:numPr>
          <w:ilvl w:val="0"/>
          <w:numId w:val="7"/>
        </w:numPr>
        <w:spacing w:before="120" w:after="120"/>
        <w:ind w:left="993" w:hanging="284"/>
        <w:jc w:val="both"/>
        <w:rPr>
          <w:rFonts w:ascii="Arial" w:hAnsi="Arial"/>
        </w:rPr>
      </w:pPr>
      <w:r w:rsidRPr="00826C9D">
        <w:rPr>
          <w:rFonts w:ascii="Arial" w:hAnsi="Arial"/>
        </w:rPr>
        <w:t>szczelności konstrukcji - należy zwrócić uwagę na ułożenie paneli, ich uszczelnienie oraz posadowienie pomiędzy słupami.</w:t>
      </w:r>
    </w:p>
    <w:p w14:paraId="58798DEE" w14:textId="77777777" w:rsidR="003006F5" w:rsidRPr="00826C9D" w:rsidRDefault="003006F5" w:rsidP="00C0119D">
      <w:pPr>
        <w:numPr>
          <w:ilvl w:val="0"/>
          <w:numId w:val="28"/>
        </w:numPr>
        <w:spacing w:before="120" w:after="120"/>
        <w:jc w:val="both"/>
        <w:rPr>
          <w:rFonts w:ascii="Arial" w:hAnsi="Arial"/>
        </w:rPr>
      </w:pPr>
      <w:r w:rsidRPr="00826C9D">
        <w:rPr>
          <w:rFonts w:ascii="Arial" w:hAnsi="Arial"/>
        </w:rPr>
        <w:t>Dopuszczalne formy uszkodzeń i nieprawidłowości określane na podstawie oceny wizualnej:</w:t>
      </w:r>
    </w:p>
    <w:p w14:paraId="4A46D6B3" w14:textId="77777777" w:rsidR="003006F5" w:rsidRPr="00826C9D" w:rsidRDefault="003006F5" w:rsidP="00C0119D">
      <w:pPr>
        <w:numPr>
          <w:ilvl w:val="0"/>
          <w:numId w:val="8"/>
        </w:numPr>
        <w:spacing w:before="120" w:after="120"/>
        <w:ind w:left="993" w:hanging="284"/>
        <w:jc w:val="both"/>
        <w:rPr>
          <w:rFonts w:ascii="Arial" w:hAnsi="Arial"/>
        </w:rPr>
      </w:pPr>
      <w:r w:rsidRPr="00826C9D">
        <w:rPr>
          <w:rFonts w:ascii="Arial" w:hAnsi="Arial"/>
        </w:rPr>
        <w:t xml:space="preserve">stan powłok zabezpieczających przed korozją należy ocenić pod względem stopnia zmian objawiających się przez złuszczenia, spękania, pofałdowania, tworzenie się pęcherzy itp. </w:t>
      </w:r>
      <w:r w:rsidRPr="00826C9D">
        <w:rPr>
          <w:rFonts w:ascii="Arial" w:hAnsi="Arial"/>
        </w:rPr>
        <w:lastRenderedPageBreak/>
        <w:t>Dopuszczalny jest stopień zmian powłoki na poziomie 5% powierzchni danego elementu (panelu),</w:t>
      </w:r>
    </w:p>
    <w:p w14:paraId="1AA778CE" w14:textId="77777777" w:rsidR="003006F5" w:rsidRPr="00826C9D" w:rsidRDefault="003006F5" w:rsidP="00C0119D">
      <w:pPr>
        <w:numPr>
          <w:ilvl w:val="0"/>
          <w:numId w:val="8"/>
        </w:numPr>
        <w:spacing w:before="120" w:after="120"/>
        <w:ind w:left="993" w:hanging="284"/>
        <w:jc w:val="both"/>
        <w:rPr>
          <w:rFonts w:ascii="Arial" w:hAnsi="Arial"/>
        </w:rPr>
      </w:pPr>
      <w:r w:rsidRPr="00826C9D">
        <w:rPr>
          <w:rFonts w:ascii="Arial" w:hAnsi="Arial"/>
        </w:rPr>
        <w:t xml:space="preserve">rozchylenie, rozejście i przesunięcia (pionowe i poziome) paneli względem siebie powodujące powstanie nieszczelności między elementami o szerokości nie większej niż </w:t>
      </w:r>
      <w:smartTag w:uri="urn:schemas-microsoft-com:office:smarttags" w:element="metricconverter">
        <w:smartTagPr>
          <w:attr w:name="ProductID" w:val="1 cm"/>
        </w:smartTagPr>
        <w:r w:rsidRPr="00826C9D">
          <w:rPr>
            <w:rFonts w:ascii="Arial" w:hAnsi="Arial"/>
          </w:rPr>
          <w:t>1 cm</w:t>
        </w:r>
      </w:smartTag>
      <w:r w:rsidRPr="00826C9D">
        <w:rPr>
          <w:rFonts w:ascii="Arial" w:hAnsi="Arial"/>
        </w:rPr>
        <w:t>, o ile nie będzie powodować zagrożenia wypadnięcia elementu z ramy oraz zostanie uszczelniona w sposób zapewniający odpowiednią skuteczność akustyczną ekranu,</w:t>
      </w:r>
    </w:p>
    <w:p w14:paraId="25D24045" w14:textId="77777777" w:rsidR="003006F5" w:rsidRPr="00826C9D" w:rsidRDefault="003006F5" w:rsidP="00C0119D">
      <w:pPr>
        <w:numPr>
          <w:ilvl w:val="0"/>
          <w:numId w:val="8"/>
        </w:numPr>
        <w:spacing w:before="120" w:after="120"/>
        <w:ind w:left="993" w:hanging="284"/>
        <w:jc w:val="both"/>
        <w:rPr>
          <w:rFonts w:ascii="Arial" w:hAnsi="Arial"/>
        </w:rPr>
      </w:pPr>
      <w:r w:rsidRPr="00826C9D">
        <w:rPr>
          <w:rFonts w:ascii="Arial" w:hAnsi="Arial"/>
        </w:rPr>
        <w:t>powstanie nieszczelności na styku płyty wypełniającej i ramy poprzez brak uszczelek, nie dopuszcza się ubytków uszczelnienia ramy.</w:t>
      </w:r>
    </w:p>
    <w:p w14:paraId="0DF84AD8" w14:textId="77777777" w:rsidR="003006F5" w:rsidRPr="00826C9D" w:rsidRDefault="003006F5" w:rsidP="003006F5">
      <w:pPr>
        <w:spacing w:before="120" w:after="120"/>
        <w:jc w:val="both"/>
        <w:rPr>
          <w:rFonts w:ascii="Arial" w:hAnsi="Arial"/>
        </w:rPr>
      </w:pPr>
      <w:r w:rsidRPr="00826C9D">
        <w:rPr>
          <w:rFonts w:ascii="Arial" w:hAnsi="Arial"/>
        </w:rPr>
        <w:t>Uwaga: Wymagania określone w niniejszym punkcie odnoszą się również do oktagonów (reduktorów).</w:t>
      </w:r>
    </w:p>
    <w:p w14:paraId="095C07A7"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Wypełnienia nieprzezroczyste z kaset z tworzyw sztucznych</w:t>
      </w:r>
    </w:p>
    <w:p w14:paraId="2A9E5A93" w14:textId="77777777" w:rsidR="003006F5" w:rsidRPr="00826C9D" w:rsidRDefault="003006F5" w:rsidP="00C0119D">
      <w:pPr>
        <w:numPr>
          <w:ilvl w:val="0"/>
          <w:numId w:val="29"/>
        </w:numPr>
        <w:spacing w:before="120" w:after="120"/>
        <w:jc w:val="both"/>
        <w:rPr>
          <w:rFonts w:ascii="Arial" w:hAnsi="Arial"/>
        </w:rPr>
      </w:pPr>
      <w:r w:rsidRPr="00826C9D">
        <w:rPr>
          <w:rFonts w:ascii="Arial" w:hAnsi="Arial"/>
        </w:rPr>
        <w:t>Wskaźniki:</w:t>
      </w:r>
    </w:p>
    <w:p w14:paraId="18058921"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będzie: </w:t>
      </w:r>
    </w:p>
    <w:p w14:paraId="276A74A8" w14:textId="77777777" w:rsidR="003006F5" w:rsidRPr="00826C9D" w:rsidRDefault="003006F5" w:rsidP="00C0119D">
      <w:pPr>
        <w:numPr>
          <w:ilvl w:val="0"/>
          <w:numId w:val="9"/>
        </w:numPr>
        <w:spacing w:before="120" w:after="120"/>
        <w:ind w:left="993" w:hanging="284"/>
        <w:jc w:val="both"/>
        <w:rPr>
          <w:rFonts w:ascii="Arial" w:hAnsi="Arial"/>
        </w:rPr>
      </w:pPr>
      <w:r w:rsidRPr="00826C9D">
        <w:rPr>
          <w:rFonts w:ascii="Arial" w:hAnsi="Arial"/>
        </w:rPr>
        <w:t>odporność na działanie promieni UV,</w:t>
      </w:r>
    </w:p>
    <w:p w14:paraId="3A0A1751" w14:textId="77777777" w:rsidR="003006F5" w:rsidRPr="00826C9D" w:rsidRDefault="003006F5" w:rsidP="00C0119D">
      <w:pPr>
        <w:numPr>
          <w:ilvl w:val="0"/>
          <w:numId w:val="9"/>
        </w:numPr>
        <w:spacing w:before="120" w:after="120"/>
        <w:ind w:left="993" w:hanging="284"/>
        <w:jc w:val="both"/>
        <w:rPr>
          <w:rFonts w:ascii="Arial" w:hAnsi="Arial"/>
        </w:rPr>
      </w:pPr>
      <w:r w:rsidRPr="00826C9D">
        <w:rPr>
          <w:rFonts w:ascii="Arial" w:hAnsi="Arial"/>
        </w:rPr>
        <w:t>szczelności konstrukcji - należy zwrócić uwagę na ułożenie paneli, ich uszczelnienie oraz posadowienie pomiędzy słupami.</w:t>
      </w:r>
    </w:p>
    <w:p w14:paraId="302D4070" w14:textId="77777777" w:rsidR="003006F5" w:rsidRPr="00826C9D" w:rsidRDefault="003006F5" w:rsidP="00C0119D">
      <w:pPr>
        <w:numPr>
          <w:ilvl w:val="0"/>
          <w:numId w:val="29"/>
        </w:numPr>
        <w:spacing w:before="120" w:after="120"/>
        <w:jc w:val="both"/>
        <w:rPr>
          <w:rFonts w:ascii="Arial" w:hAnsi="Arial"/>
        </w:rPr>
      </w:pPr>
      <w:r w:rsidRPr="00826C9D">
        <w:rPr>
          <w:rFonts w:ascii="Arial" w:hAnsi="Arial"/>
        </w:rPr>
        <w:t>Dopuszczalne formy uszkodzeń i nieprawidłowości określane na podstawie oceny wizualnej:</w:t>
      </w:r>
    </w:p>
    <w:p w14:paraId="530DE380" w14:textId="77777777" w:rsidR="003006F5" w:rsidRPr="00826C9D" w:rsidRDefault="003006F5" w:rsidP="00C0119D">
      <w:pPr>
        <w:numPr>
          <w:ilvl w:val="0"/>
          <w:numId w:val="10"/>
        </w:numPr>
        <w:spacing w:before="120" w:after="120"/>
        <w:ind w:left="993" w:hanging="284"/>
        <w:jc w:val="both"/>
        <w:rPr>
          <w:rFonts w:ascii="Arial" w:hAnsi="Arial"/>
        </w:rPr>
      </w:pPr>
      <w:r w:rsidRPr="00826C9D">
        <w:rPr>
          <w:rFonts w:ascii="Arial" w:hAnsi="Arial"/>
        </w:rPr>
        <w:t>odporność na działanie promieni UV – ocenie podlega stan wybarwienia materiału. Dopuszczalna jest utrata koloru na 25% powierzchni danego panelu lub na 100% powierzchni w przypadku zmiany odcienia barwy wyjściowej o maksymalnie 2 tony,</w:t>
      </w:r>
    </w:p>
    <w:p w14:paraId="56DD8508" w14:textId="77777777" w:rsidR="003006F5" w:rsidRPr="00826C9D" w:rsidRDefault="003006F5" w:rsidP="00C0119D">
      <w:pPr>
        <w:numPr>
          <w:ilvl w:val="0"/>
          <w:numId w:val="10"/>
        </w:numPr>
        <w:spacing w:before="120" w:after="120"/>
        <w:ind w:left="993" w:hanging="284"/>
        <w:jc w:val="both"/>
        <w:rPr>
          <w:rFonts w:ascii="Arial" w:hAnsi="Arial"/>
        </w:rPr>
      </w:pPr>
      <w:r w:rsidRPr="00826C9D">
        <w:rPr>
          <w:rFonts w:ascii="Arial" w:hAnsi="Arial"/>
        </w:rPr>
        <w:t>utrata siatki z tworzywa sztucznego – dopuszczalne 5% powierzchni panelu,</w:t>
      </w:r>
    </w:p>
    <w:p w14:paraId="0B457474" w14:textId="77777777" w:rsidR="003006F5" w:rsidRPr="00826C9D" w:rsidRDefault="003006F5" w:rsidP="00C0119D">
      <w:pPr>
        <w:numPr>
          <w:ilvl w:val="0"/>
          <w:numId w:val="10"/>
        </w:numPr>
        <w:spacing w:before="120" w:after="120"/>
        <w:ind w:left="993" w:hanging="284"/>
        <w:jc w:val="both"/>
        <w:rPr>
          <w:rFonts w:ascii="Arial" w:hAnsi="Arial"/>
        </w:rPr>
      </w:pPr>
      <w:r w:rsidRPr="00826C9D">
        <w:rPr>
          <w:rFonts w:ascii="Arial" w:hAnsi="Arial"/>
        </w:rPr>
        <w:t>deformacja płaszczyzny paneli – dopuszczalne jest 5% deformacji płaszczyzny panelu, o ile nie będzie ona powodować utraty szczelności elementu oraz nie będzie powodować zagrożenia wypadnięciem elementu z ramy,</w:t>
      </w:r>
    </w:p>
    <w:p w14:paraId="029132E0" w14:textId="349BB245" w:rsidR="003006F5" w:rsidRPr="00826C9D" w:rsidRDefault="003006F5" w:rsidP="00C0119D">
      <w:pPr>
        <w:numPr>
          <w:ilvl w:val="0"/>
          <w:numId w:val="10"/>
        </w:numPr>
        <w:spacing w:before="120" w:after="120"/>
        <w:ind w:left="993" w:hanging="284"/>
        <w:jc w:val="both"/>
        <w:rPr>
          <w:rFonts w:ascii="Arial" w:hAnsi="Arial"/>
        </w:rPr>
      </w:pPr>
      <w:r w:rsidRPr="00826C9D">
        <w:rPr>
          <w:rFonts w:ascii="Arial" w:hAnsi="Arial"/>
        </w:rPr>
        <w:t xml:space="preserve">rozchylenie, rozejście i przesunięcia (pionowe i poziome) paneli względem siebie powodujące powstanie nieszczelności między poszczególnymi elementami (panelami) </w:t>
      </w:r>
      <w:r w:rsidR="002A439E" w:rsidRPr="00826C9D">
        <w:rPr>
          <w:rFonts w:ascii="Arial" w:hAnsi="Arial"/>
        </w:rPr>
        <w:br/>
      </w:r>
      <w:r w:rsidRPr="00826C9D">
        <w:rPr>
          <w:rFonts w:ascii="Arial" w:hAnsi="Arial"/>
        </w:rPr>
        <w:t xml:space="preserve">o szerokości nie większej niż </w:t>
      </w:r>
      <w:smartTag w:uri="urn:schemas-microsoft-com:office:smarttags" w:element="metricconverter">
        <w:smartTagPr>
          <w:attr w:name="ProductID" w:val="1 cm"/>
        </w:smartTagPr>
        <w:r w:rsidRPr="00826C9D">
          <w:rPr>
            <w:rFonts w:ascii="Arial" w:hAnsi="Arial"/>
          </w:rPr>
          <w:t>1 cm</w:t>
        </w:r>
      </w:smartTag>
      <w:r w:rsidRPr="00826C9D">
        <w:rPr>
          <w:rFonts w:ascii="Arial" w:hAnsi="Arial"/>
        </w:rPr>
        <w:t>, o ile nie będzie to powodować zagrożenia wypadnięcia elementu z ramy oraz zostanie uszczelniona w sposób zapewniający odpowiednią skuteczność akustyczną ekranu,</w:t>
      </w:r>
    </w:p>
    <w:p w14:paraId="17597FB6" w14:textId="77777777" w:rsidR="003006F5" w:rsidRPr="00826C9D" w:rsidRDefault="003006F5" w:rsidP="00C0119D">
      <w:pPr>
        <w:numPr>
          <w:ilvl w:val="0"/>
          <w:numId w:val="10"/>
        </w:numPr>
        <w:spacing w:before="120" w:after="120"/>
        <w:ind w:left="993" w:hanging="284"/>
        <w:jc w:val="both"/>
        <w:rPr>
          <w:rFonts w:ascii="Arial" w:hAnsi="Arial"/>
        </w:rPr>
      </w:pPr>
      <w:r w:rsidRPr="00826C9D">
        <w:rPr>
          <w:rFonts w:ascii="Arial" w:hAnsi="Arial"/>
        </w:rPr>
        <w:t xml:space="preserve">powstanie nieszczelności na styku płyty wypełniającej i ramy poprzez brak uszczelek, nie dopuszcza się ubytków uszczelnienia ramy. </w:t>
      </w:r>
    </w:p>
    <w:p w14:paraId="5F8535C5" w14:textId="77777777" w:rsidR="003006F5" w:rsidRPr="00826C9D" w:rsidRDefault="003006F5" w:rsidP="003006F5">
      <w:pPr>
        <w:spacing w:before="120" w:after="120"/>
        <w:jc w:val="both"/>
        <w:rPr>
          <w:rFonts w:ascii="Arial" w:hAnsi="Arial"/>
        </w:rPr>
      </w:pPr>
      <w:r w:rsidRPr="00826C9D">
        <w:rPr>
          <w:rFonts w:ascii="Arial" w:hAnsi="Arial"/>
        </w:rPr>
        <w:t>Uwaga: Wymagania określone w niniejszym punkcie odnoszą się również do oktagonów (reduktorów).</w:t>
      </w:r>
    </w:p>
    <w:p w14:paraId="146CB071"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Wypełnienia nieprzezroczyste z paneli betonowych, </w:t>
      </w:r>
      <w:proofErr w:type="spellStart"/>
      <w:r w:rsidRPr="00826C9D">
        <w:rPr>
          <w:rFonts w:ascii="Arial" w:hAnsi="Arial"/>
        </w:rPr>
        <w:t>zrąbko</w:t>
      </w:r>
      <w:proofErr w:type="spellEnd"/>
      <w:r w:rsidRPr="00826C9D">
        <w:rPr>
          <w:rFonts w:ascii="Arial" w:hAnsi="Arial"/>
        </w:rPr>
        <w:t>-betonowych, itp.</w:t>
      </w:r>
    </w:p>
    <w:p w14:paraId="28B9ABC7" w14:textId="77777777" w:rsidR="003006F5" w:rsidRPr="00826C9D" w:rsidRDefault="003006F5" w:rsidP="00C0119D">
      <w:pPr>
        <w:numPr>
          <w:ilvl w:val="0"/>
          <w:numId w:val="30"/>
        </w:numPr>
        <w:spacing w:before="120" w:after="120"/>
        <w:jc w:val="both"/>
        <w:rPr>
          <w:rFonts w:ascii="Arial" w:hAnsi="Arial"/>
        </w:rPr>
      </w:pPr>
      <w:r w:rsidRPr="00826C9D">
        <w:rPr>
          <w:rFonts w:ascii="Arial" w:hAnsi="Arial"/>
        </w:rPr>
        <w:t>Wskaźniki:</w:t>
      </w:r>
    </w:p>
    <w:p w14:paraId="75FFCB21"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będzie: </w:t>
      </w:r>
    </w:p>
    <w:p w14:paraId="7120A905" w14:textId="77777777" w:rsidR="003006F5" w:rsidRPr="00826C9D" w:rsidRDefault="003006F5" w:rsidP="00C0119D">
      <w:pPr>
        <w:numPr>
          <w:ilvl w:val="0"/>
          <w:numId w:val="11"/>
        </w:numPr>
        <w:spacing w:before="120" w:after="120"/>
        <w:ind w:left="993" w:hanging="284"/>
        <w:jc w:val="both"/>
        <w:rPr>
          <w:rFonts w:ascii="Arial" w:hAnsi="Arial"/>
        </w:rPr>
      </w:pPr>
      <w:r w:rsidRPr="00826C9D">
        <w:rPr>
          <w:rFonts w:ascii="Arial" w:hAnsi="Arial"/>
        </w:rPr>
        <w:t>odporność na działanie warunków atmosferycznych,</w:t>
      </w:r>
    </w:p>
    <w:p w14:paraId="0D0124B9" w14:textId="77777777" w:rsidR="003006F5" w:rsidRPr="00826C9D" w:rsidRDefault="003006F5" w:rsidP="00C0119D">
      <w:pPr>
        <w:numPr>
          <w:ilvl w:val="0"/>
          <w:numId w:val="11"/>
        </w:numPr>
        <w:spacing w:before="120" w:after="120"/>
        <w:ind w:left="993" w:hanging="284"/>
        <w:jc w:val="both"/>
        <w:rPr>
          <w:rFonts w:ascii="Arial" w:hAnsi="Arial"/>
        </w:rPr>
      </w:pPr>
      <w:r w:rsidRPr="00826C9D">
        <w:rPr>
          <w:rFonts w:ascii="Arial" w:hAnsi="Arial"/>
        </w:rPr>
        <w:t>szczelności konstrukcji - należy zwrócić uwagę na ułożenie paneli, ich uszczelnienie oraz posadowienie pomiędzy słupami.</w:t>
      </w:r>
    </w:p>
    <w:p w14:paraId="7FEA8314" w14:textId="77777777" w:rsidR="003006F5" w:rsidRPr="00826C9D" w:rsidRDefault="003006F5" w:rsidP="00C0119D">
      <w:pPr>
        <w:numPr>
          <w:ilvl w:val="0"/>
          <w:numId w:val="30"/>
        </w:numPr>
        <w:spacing w:before="120" w:after="120"/>
        <w:jc w:val="both"/>
        <w:rPr>
          <w:rFonts w:ascii="Arial" w:hAnsi="Arial"/>
        </w:rPr>
      </w:pPr>
      <w:r w:rsidRPr="00826C9D">
        <w:rPr>
          <w:rFonts w:ascii="Arial" w:hAnsi="Arial"/>
        </w:rPr>
        <w:t>Dopuszczalne formy uszkodzeń i nieprawidłowości określane na podstawie oceny wizualnej:</w:t>
      </w:r>
    </w:p>
    <w:p w14:paraId="62B3871B" w14:textId="77777777" w:rsidR="003006F5" w:rsidRPr="00826C9D" w:rsidRDefault="003006F5" w:rsidP="00C0119D">
      <w:pPr>
        <w:numPr>
          <w:ilvl w:val="0"/>
          <w:numId w:val="12"/>
        </w:numPr>
        <w:spacing w:before="120" w:after="120"/>
        <w:ind w:left="993" w:hanging="284"/>
        <w:jc w:val="both"/>
        <w:rPr>
          <w:rFonts w:ascii="Arial" w:hAnsi="Arial"/>
        </w:rPr>
      </w:pPr>
      <w:r w:rsidRPr="00826C9D">
        <w:rPr>
          <w:rFonts w:ascii="Arial" w:hAnsi="Arial"/>
        </w:rPr>
        <w:lastRenderedPageBreak/>
        <w:t xml:space="preserve">odporność na działanie warunków atmosferycznych – oceniana będzie na podstawie stopnia zniszczenia powierzchni pojedynczego panelu. Łączna powierzchnia uszkodzeń nie powinna być większa niż 2% powierzchni podlegającej ocenie a maksymalna powierzchnia pojedynczego uszkodzenia nie powinna przekraczać </w:t>
      </w:r>
      <w:smartTag w:uri="urn:schemas-microsoft-com:office:smarttags" w:element="metricconverter">
        <w:smartTagPr>
          <w:attr w:name="ProductID" w:val="0,1 m2"/>
        </w:smartTagPr>
        <w:r w:rsidRPr="00826C9D">
          <w:rPr>
            <w:rFonts w:ascii="Arial" w:hAnsi="Arial"/>
          </w:rPr>
          <w:t>0,1 m</w:t>
        </w:r>
        <w:r w:rsidRPr="00826C9D">
          <w:rPr>
            <w:rFonts w:ascii="Arial" w:hAnsi="Arial"/>
            <w:vertAlign w:val="superscript"/>
          </w:rPr>
          <w:t>2</w:t>
        </w:r>
      </w:smartTag>
      <w:r w:rsidRPr="00826C9D">
        <w:rPr>
          <w:rFonts w:ascii="Arial" w:hAnsi="Arial"/>
        </w:rPr>
        <w:t>,</w:t>
      </w:r>
    </w:p>
    <w:p w14:paraId="1C5305EE" w14:textId="77777777" w:rsidR="003006F5" w:rsidRPr="00826C9D" w:rsidRDefault="003006F5" w:rsidP="00C0119D">
      <w:pPr>
        <w:numPr>
          <w:ilvl w:val="0"/>
          <w:numId w:val="12"/>
        </w:numPr>
        <w:spacing w:before="120" w:after="120"/>
        <w:ind w:left="993" w:hanging="284"/>
        <w:jc w:val="both"/>
        <w:rPr>
          <w:rFonts w:ascii="Arial" w:hAnsi="Arial"/>
        </w:rPr>
      </w:pPr>
      <w:r w:rsidRPr="00826C9D">
        <w:rPr>
          <w:rFonts w:ascii="Arial" w:hAnsi="Arial"/>
        </w:rPr>
        <w:t xml:space="preserve">rozchylenie, rozejście i przesunięcia (pionowe i poziome) paneli względem siebie powodujące powstanie nieszczelności między poszczególnymi elementami o szerokości nie większej niż </w:t>
      </w:r>
      <w:smartTag w:uri="urn:schemas-microsoft-com:office:smarttags" w:element="metricconverter">
        <w:smartTagPr>
          <w:attr w:name="ProductID" w:val="1 cm"/>
        </w:smartTagPr>
        <w:r w:rsidRPr="00826C9D">
          <w:rPr>
            <w:rFonts w:ascii="Arial" w:hAnsi="Arial"/>
          </w:rPr>
          <w:t>1 cm</w:t>
        </w:r>
      </w:smartTag>
      <w:r w:rsidRPr="00826C9D">
        <w:rPr>
          <w:rFonts w:ascii="Arial" w:hAnsi="Arial"/>
        </w:rPr>
        <w:t>, o ile nie będzie to powodować zagrożenia wypadnięcia elementu oraz zostanie uszczelniona w sposób zapewniający odpowiednią skuteczność akustyczną ekranu.</w:t>
      </w:r>
    </w:p>
    <w:p w14:paraId="38173D40" w14:textId="77777777" w:rsidR="003006F5" w:rsidRPr="00826C9D" w:rsidRDefault="003006F5" w:rsidP="00826C9D">
      <w:pPr>
        <w:pStyle w:val="Nagwek3"/>
        <w:numPr>
          <w:ilvl w:val="0"/>
          <w:numId w:val="39"/>
        </w:numPr>
      </w:pPr>
      <w:bookmarkStart w:id="44" w:name="_Toc218669634"/>
      <w:r w:rsidRPr="00826C9D">
        <w:t>Ekrany i wały ziemne</w:t>
      </w:r>
      <w:bookmarkEnd w:id="44"/>
    </w:p>
    <w:p w14:paraId="6E958628" w14:textId="77777777" w:rsidR="003006F5" w:rsidRPr="00826C9D" w:rsidRDefault="003006F5" w:rsidP="00C0119D">
      <w:pPr>
        <w:numPr>
          <w:ilvl w:val="0"/>
          <w:numId w:val="31"/>
        </w:numPr>
        <w:spacing w:before="120" w:after="120"/>
        <w:jc w:val="both"/>
        <w:rPr>
          <w:rFonts w:ascii="Arial" w:hAnsi="Arial"/>
        </w:rPr>
      </w:pPr>
      <w:r w:rsidRPr="00826C9D">
        <w:rPr>
          <w:rFonts w:ascii="Arial" w:hAnsi="Arial"/>
        </w:rPr>
        <w:t>Wskaźniki:</w:t>
      </w:r>
    </w:p>
    <w:p w14:paraId="7948986D"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będzie: </w:t>
      </w:r>
    </w:p>
    <w:p w14:paraId="710C7D03" w14:textId="77777777" w:rsidR="003006F5" w:rsidRPr="00826C9D" w:rsidRDefault="003006F5" w:rsidP="00C0119D">
      <w:pPr>
        <w:numPr>
          <w:ilvl w:val="0"/>
          <w:numId w:val="13"/>
        </w:numPr>
        <w:spacing w:before="120" w:after="120"/>
        <w:ind w:left="993" w:hanging="284"/>
        <w:jc w:val="both"/>
        <w:rPr>
          <w:rFonts w:ascii="Arial" w:hAnsi="Arial"/>
        </w:rPr>
      </w:pPr>
      <w:r w:rsidRPr="00826C9D">
        <w:rPr>
          <w:rFonts w:ascii="Arial" w:hAnsi="Arial"/>
        </w:rPr>
        <w:t>szczelność konstrukcji – na podstawie oceny wizualnej, należy zwrócić uwagę czy widoczne są ubytki konstrukcji oraz wypełnienia, w tym trwałość konstrukcji stalowej o ile była stosowana,</w:t>
      </w:r>
    </w:p>
    <w:p w14:paraId="0724E031" w14:textId="77777777" w:rsidR="003006F5" w:rsidRPr="00826C9D" w:rsidRDefault="003006F5" w:rsidP="00C0119D">
      <w:pPr>
        <w:numPr>
          <w:ilvl w:val="0"/>
          <w:numId w:val="13"/>
        </w:numPr>
        <w:spacing w:before="120" w:after="120"/>
        <w:ind w:left="993" w:hanging="284"/>
        <w:jc w:val="both"/>
        <w:rPr>
          <w:rFonts w:ascii="Arial" w:hAnsi="Arial"/>
        </w:rPr>
      </w:pPr>
      <w:r w:rsidRPr="00826C9D">
        <w:rPr>
          <w:rFonts w:ascii="Arial" w:hAnsi="Arial"/>
        </w:rPr>
        <w:t>stateczność konstrukcji – na podstawie oceny wizualnej należy sprawdzić, czy nie są widoczne odchylenia pionowe konstrukcji lub obsunięcia na powierzchni ziemnej skarp.</w:t>
      </w:r>
    </w:p>
    <w:p w14:paraId="2CB97445" w14:textId="77777777" w:rsidR="003006F5" w:rsidRPr="00826C9D" w:rsidRDefault="003006F5" w:rsidP="00C0119D">
      <w:pPr>
        <w:numPr>
          <w:ilvl w:val="0"/>
          <w:numId w:val="31"/>
        </w:numPr>
        <w:spacing w:before="120" w:after="120"/>
        <w:jc w:val="both"/>
        <w:rPr>
          <w:rFonts w:ascii="Arial" w:hAnsi="Arial"/>
        </w:rPr>
      </w:pPr>
      <w:r w:rsidRPr="00826C9D">
        <w:rPr>
          <w:rFonts w:ascii="Arial" w:hAnsi="Arial"/>
        </w:rPr>
        <w:t>Nie dopuszcza się utraty szczelności i stateczności konstrukcji ekranów i wałów ziemnych.</w:t>
      </w:r>
    </w:p>
    <w:p w14:paraId="61AE44F2" w14:textId="77777777" w:rsidR="003006F5" w:rsidRPr="00826C9D" w:rsidRDefault="003006F5" w:rsidP="00C0119D">
      <w:pPr>
        <w:numPr>
          <w:ilvl w:val="0"/>
          <w:numId w:val="31"/>
        </w:numPr>
        <w:spacing w:before="120" w:after="120"/>
        <w:jc w:val="both"/>
        <w:rPr>
          <w:rFonts w:ascii="Arial" w:hAnsi="Arial"/>
        </w:rPr>
      </w:pPr>
      <w:r w:rsidRPr="00826C9D">
        <w:rPr>
          <w:rFonts w:ascii="Arial" w:hAnsi="Arial"/>
        </w:rPr>
        <w:t>W przypadku dokonania obsadzenia ekranów i wałów ziemnych roślinami pnącymi, roślinność tę należy objąć 3-letnim utrzymaniem polegającym na odchwaszczaniu i zasilaniu roślin oraz wymianie tych, które się nie przyjęły. Po upływie okresu utrzymania zieleni, należy dokonać oceny stanu jej zachowania i w przypadku stwierdzenie miejsc pozbawionych roślinności dokonać nasadzeń uzupełniających. Nasadzenia uzupełniające objęte są kolejnym 3-letnim okresem utrzymania.</w:t>
      </w:r>
    </w:p>
    <w:p w14:paraId="7597D57F" w14:textId="77777777" w:rsidR="003006F5" w:rsidRPr="00826C9D" w:rsidRDefault="003006F5" w:rsidP="00826C9D">
      <w:pPr>
        <w:pStyle w:val="Nagwek3"/>
        <w:numPr>
          <w:ilvl w:val="0"/>
          <w:numId w:val="39"/>
        </w:numPr>
      </w:pPr>
      <w:bookmarkStart w:id="45" w:name="_Toc218669635"/>
      <w:r w:rsidRPr="00826C9D">
        <w:t>Elementy metalowe konstrukcji ekranów (słupy, ramy itd.)</w:t>
      </w:r>
      <w:bookmarkEnd w:id="45"/>
      <w:r w:rsidRPr="00826C9D">
        <w:t xml:space="preserve"> </w:t>
      </w:r>
    </w:p>
    <w:p w14:paraId="5CE66451" w14:textId="77777777" w:rsidR="003006F5" w:rsidRPr="00826C9D" w:rsidRDefault="003006F5" w:rsidP="00C0119D">
      <w:pPr>
        <w:numPr>
          <w:ilvl w:val="0"/>
          <w:numId w:val="32"/>
        </w:numPr>
        <w:spacing w:before="120" w:after="120"/>
        <w:jc w:val="both"/>
        <w:rPr>
          <w:rFonts w:ascii="Arial" w:hAnsi="Arial"/>
        </w:rPr>
      </w:pPr>
      <w:r w:rsidRPr="00826C9D">
        <w:rPr>
          <w:rFonts w:ascii="Arial" w:hAnsi="Arial"/>
        </w:rPr>
        <w:t>Wskaźniki:</w:t>
      </w:r>
    </w:p>
    <w:p w14:paraId="0DA368F2"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będzie: </w:t>
      </w:r>
    </w:p>
    <w:p w14:paraId="50FDC682" w14:textId="77777777" w:rsidR="003006F5" w:rsidRPr="00826C9D" w:rsidRDefault="003006F5" w:rsidP="00C0119D">
      <w:pPr>
        <w:numPr>
          <w:ilvl w:val="0"/>
          <w:numId w:val="14"/>
        </w:numPr>
        <w:spacing w:before="120" w:after="120"/>
        <w:ind w:left="993" w:hanging="284"/>
        <w:jc w:val="both"/>
        <w:rPr>
          <w:rFonts w:ascii="Arial" w:hAnsi="Arial"/>
        </w:rPr>
      </w:pPr>
      <w:r w:rsidRPr="00826C9D">
        <w:rPr>
          <w:rFonts w:ascii="Arial" w:hAnsi="Arial"/>
        </w:rPr>
        <w:t>stan powłoki zabezpieczającej,</w:t>
      </w:r>
    </w:p>
    <w:p w14:paraId="32B544B7" w14:textId="77777777" w:rsidR="003006F5" w:rsidRPr="00826C9D" w:rsidRDefault="003006F5" w:rsidP="00C0119D">
      <w:pPr>
        <w:numPr>
          <w:ilvl w:val="0"/>
          <w:numId w:val="14"/>
        </w:numPr>
        <w:spacing w:before="120" w:after="120"/>
        <w:ind w:left="993" w:hanging="284"/>
        <w:jc w:val="both"/>
        <w:rPr>
          <w:rFonts w:ascii="Arial" w:hAnsi="Arial"/>
        </w:rPr>
      </w:pPr>
      <w:r w:rsidRPr="00826C9D">
        <w:rPr>
          <w:rFonts w:ascii="Arial" w:hAnsi="Arial"/>
        </w:rPr>
        <w:t>stabilność konstrukcji.</w:t>
      </w:r>
    </w:p>
    <w:p w14:paraId="6F19F200" w14:textId="77777777" w:rsidR="003006F5" w:rsidRPr="00826C9D" w:rsidRDefault="003006F5" w:rsidP="00C0119D">
      <w:pPr>
        <w:numPr>
          <w:ilvl w:val="0"/>
          <w:numId w:val="32"/>
        </w:numPr>
        <w:spacing w:before="120" w:after="120"/>
        <w:jc w:val="both"/>
        <w:rPr>
          <w:rFonts w:ascii="Arial" w:hAnsi="Arial"/>
        </w:rPr>
      </w:pPr>
      <w:r w:rsidRPr="00826C9D">
        <w:rPr>
          <w:rFonts w:ascii="Arial" w:hAnsi="Arial"/>
        </w:rPr>
        <w:t>Dopuszczalne formy uszkodzeń i nieprawidłowości określane na podstawie oceny wizualnej:</w:t>
      </w:r>
    </w:p>
    <w:p w14:paraId="5165DBD1" w14:textId="77777777" w:rsidR="003006F5" w:rsidRPr="00826C9D" w:rsidRDefault="003006F5" w:rsidP="00C0119D">
      <w:pPr>
        <w:numPr>
          <w:ilvl w:val="0"/>
          <w:numId w:val="15"/>
        </w:numPr>
        <w:spacing w:before="120" w:after="120"/>
        <w:ind w:left="993" w:hanging="284"/>
        <w:jc w:val="both"/>
        <w:rPr>
          <w:rFonts w:ascii="Arial" w:hAnsi="Arial"/>
        </w:rPr>
      </w:pPr>
      <w:r w:rsidRPr="00826C9D">
        <w:rPr>
          <w:rFonts w:ascii="Arial" w:hAnsi="Arial"/>
        </w:rPr>
        <w:t>stan powłok zabezpieczających przed korozją należy ocenić pod względem stopnia zmian objawiających się przez złuszczenia, spękania, pofałdowania, tworzenie się pęcherzy itp. Dopuszczalny jest stopień zmian powłoki antykorozyjnej słupa na poziomie 10% powierzchni danego elementu,</w:t>
      </w:r>
    </w:p>
    <w:p w14:paraId="4BAEB778" w14:textId="77777777" w:rsidR="003006F5" w:rsidRPr="00826C9D" w:rsidRDefault="003006F5" w:rsidP="00C0119D">
      <w:pPr>
        <w:numPr>
          <w:ilvl w:val="0"/>
          <w:numId w:val="15"/>
        </w:numPr>
        <w:spacing w:before="120" w:after="120"/>
        <w:ind w:left="993" w:hanging="284"/>
        <w:jc w:val="both"/>
        <w:rPr>
          <w:rFonts w:ascii="Arial" w:hAnsi="Arial"/>
        </w:rPr>
      </w:pPr>
      <w:r w:rsidRPr="00826C9D">
        <w:rPr>
          <w:rFonts w:ascii="Arial" w:hAnsi="Arial"/>
        </w:rPr>
        <w:t>odkształcenie konstrukcji słupów stalowych powodujące powstanie odchylenia w pionie oraz nieszczelności między poszczególnymi elementami (płytami).</w:t>
      </w:r>
      <w:r w:rsidR="00F64263" w:rsidRPr="00826C9D">
        <w:rPr>
          <w:rFonts w:ascii="Arial" w:hAnsi="Arial"/>
        </w:rPr>
        <w:t xml:space="preserve"> </w:t>
      </w:r>
      <w:r w:rsidRPr="00826C9D">
        <w:rPr>
          <w:rFonts w:ascii="Arial" w:hAnsi="Arial"/>
        </w:rPr>
        <w:t>Ze względu na trudny do wskazania liczbowy wskaźnik dopuszczalności takiego odkształcenia, ocena odbywać się będzie na podstawie opinii Komisji Odbiorowej, która uwzględniać będzie przede wszystkim stopień zagrożenia stabilności konstrukcji i bezpieczeństwa otoczenia.</w:t>
      </w:r>
    </w:p>
    <w:p w14:paraId="08C14892" w14:textId="77777777" w:rsidR="003006F5" w:rsidRPr="00826C9D" w:rsidRDefault="003006F5" w:rsidP="00826C9D">
      <w:pPr>
        <w:pStyle w:val="Nagwek3"/>
        <w:numPr>
          <w:ilvl w:val="0"/>
          <w:numId w:val="39"/>
        </w:numPr>
      </w:pPr>
      <w:bookmarkStart w:id="46" w:name="_Toc218669636"/>
      <w:r w:rsidRPr="00826C9D">
        <w:lastRenderedPageBreak/>
        <w:t>Elementy betonowe konstrukcji ekranów (widoczne części pali, podwalina ekranu)</w:t>
      </w:r>
      <w:bookmarkEnd w:id="46"/>
    </w:p>
    <w:p w14:paraId="7A09B192" w14:textId="77777777" w:rsidR="003006F5" w:rsidRPr="00826C9D" w:rsidRDefault="003006F5" w:rsidP="00C0119D">
      <w:pPr>
        <w:numPr>
          <w:ilvl w:val="0"/>
          <w:numId w:val="33"/>
        </w:numPr>
        <w:spacing w:before="120" w:after="120"/>
        <w:jc w:val="both"/>
        <w:rPr>
          <w:rFonts w:ascii="Arial" w:hAnsi="Arial"/>
        </w:rPr>
      </w:pPr>
      <w:r w:rsidRPr="00826C9D">
        <w:rPr>
          <w:rFonts w:ascii="Arial" w:hAnsi="Arial"/>
        </w:rPr>
        <w:t>Wskaźniki:</w:t>
      </w:r>
    </w:p>
    <w:p w14:paraId="60EE3881" w14:textId="77777777" w:rsidR="003006F5" w:rsidRPr="00826C9D" w:rsidRDefault="003006F5" w:rsidP="003006F5">
      <w:pPr>
        <w:spacing w:before="120" w:after="120"/>
        <w:ind w:left="567"/>
        <w:jc w:val="both"/>
        <w:rPr>
          <w:rFonts w:ascii="Arial" w:hAnsi="Arial"/>
        </w:rPr>
      </w:pPr>
      <w:r w:rsidRPr="00826C9D">
        <w:rPr>
          <w:rFonts w:ascii="Arial" w:hAnsi="Arial"/>
        </w:rPr>
        <w:t xml:space="preserve">W trakcie trwania okresu gwarancji sprawdzeniu podlegać będzie: </w:t>
      </w:r>
    </w:p>
    <w:p w14:paraId="2DFAA07B" w14:textId="77777777" w:rsidR="003006F5" w:rsidRPr="00826C9D" w:rsidRDefault="003006F5" w:rsidP="00C0119D">
      <w:pPr>
        <w:numPr>
          <w:ilvl w:val="0"/>
          <w:numId w:val="16"/>
        </w:numPr>
        <w:spacing w:before="120" w:after="120"/>
        <w:ind w:left="993" w:hanging="284"/>
        <w:jc w:val="both"/>
        <w:rPr>
          <w:rFonts w:ascii="Arial" w:hAnsi="Arial"/>
        </w:rPr>
      </w:pPr>
      <w:r w:rsidRPr="00826C9D">
        <w:rPr>
          <w:rFonts w:ascii="Arial" w:hAnsi="Arial"/>
        </w:rPr>
        <w:t>odporność na działanie warunków atmosferycznych,</w:t>
      </w:r>
    </w:p>
    <w:p w14:paraId="02EB4C94" w14:textId="77777777" w:rsidR="003006F5" w:rsidRPr="00826C9D" w:rsidRDefault="003006F5" w:rsidP="00C0119D">
      <w:pPr>
        <w:numPr>
          <w:ilvl w:val="0"/>
          <w:numId w:val="16"/>
        </w:numPr>
        <w:spacing w:before="120" w:after="120"/>
        <w:ind w:left="993" w:hanging="284"/>
        <w:jc w:val="both"/>
        <w:rPr>
          <w:rFonts w:ascii="Arial" w:hAnsi="Arial"/>
        </w:rPr>
      </w:pPr>
      <w:r w:rsidRPr="00826C9D">
        <w:rPr>
          <w:rFonts w:ascii="Arial" w:hAnsi="Arial"/>
        </w:rPr>
        <w:t>sztywność materiału,</w:t>
      </w:r>
    </w:p>
    <w:p w14:paraId="17E57E98" w14:textId="77777777" w:rsidR="003006F5" w:rsidRPr="00826C9D" w:rsidRDefault="003006F5" w:rsidP="00C0119D">
      <w:pPr>
        <w:numPr>
          <w:ilvl w:val="0"/>
          <w:numId w:val="16"/>
        </w:numPr>
        <w:spacing w:before="120" w:after="120"/>
        <w:ind w:left="993" w:hanging="284"/>
        <w:jc w:val="both"/>
        <w:rPr>
          <w:rFonts w:ascii="Arial" w:hAnsi="Arial"/>
        </w:rPr>
      </w:pPr>
      <w:r w:rsidRPr="00826C9D">
        <w:rPr>
          <w:rFonts w:ascii="Arial" w:hAnsi="Arial"/>
        </w:rPr>
        <w:t>szczelności konstrukcji - należy zwrócić uwagę na umocowanie paneli pomiędzy słupami.</w:t>
      </w:r>
    </w:p>
    <w:p w14:paraId="5A3642DE" w14:textId="77777777" w:rsidR="003006F5" w:rsidRPr="00826C9D" w:rsidRDefault="003006F5" w:rsidP="00C0119D">
      <w:pPr>
        <w:numPr>
          <w:ilvl w:val="0"/>
          <w:numId w:val="33"/>
        </w:numPr>
        <w:spacing w:before="120" w:after="120"/>
        <w:jc w:val="both"/>
        <w:rPr>
          <w:rFonts w:ascii="Arial" w:hAnsi="Arial"/>
        </w:rPr>
      </w:pPr>
      <w:r w:rsidRPr="00826C9D">
        <w:rPr>
          <w:rFonts w:ascii="Arial" w:hAnsi="Arial"/>
        </w:rPr>
        <w:t>Dopuszczalne formy uszkodzeń i nieprawidłowości określane na podstawie oceny wizualnej:</w:t>
      </w:r>
    </w:p>
    <w:p w14:paraId="6EB03196" w14:textId="77777777" w:rsidR="003006F5" w:rsidRPr="00826C9D" w:rsidRDefault="003006F5" w:rsidP="00C0119D">
      <w:pPr>
        <w:numPr>
          <w:ilvl w:val="0"/>
          <w:numId w:val="17"/>
        </w:numPr>
        <w:spacing w:before="120" w:after="120"/>
        <w:ind w:left="993" w:hanging="284"/>
        <w:jc w:val="both"/>
        <w:rPr>
          <w:rFonts w:ascii="Arial" w:hAnsi="Arial"/>
        </w:rPr>
      </w:pPr>
      <w:r w:rsidRPr="00826C9D">
        <w:rPr>
          <w:rFonts w:ascii="Arial" w:hAnsi="Arial"/>
        </w:rPr>
        <w:t xml:space="preserve">odporność na działanie warunków atmosferycznych – łączna powierzchnia uszkodzeń nie powinna być większa niż 2% powierzchni podlegającej ocenie a maksymalna powierzchnia pojedynczego uszkodzenia nie powinna przekraczać </w:t>
      </w:r>
      <w:smartTag w:uri="urn:schemas-microsoft-com:office:smarttags" w:element="metricconverter">
        <w:smartTagPr>
          <w:attr w:name="ProductID" w:val="0,1 m2"/>
        </w:smartTagPr>
        <w:r w:rsidRPr="00826C9D">
          <w:rPr>
            <w:rFonts w:ascii="Arial" w:hAnsi="Arial"/>
          </w:rPr>
          <w:t>0,1 m</w:t>
        </w:r>
        <w:r w:rsidRPr="00826C9D">
          <w:rPr>
            <w:rFonts w:ascii="Arial" w:hAnsi="Arial"/>
            <w:vertAlign w:val="superscript"/>
          </w:rPr>
          <w:t>2</w:t>
        </w:r>
      </w:smartTag>
      <w:r w:rsidRPr="00826C9D">
        <w:rPr>
          <w:rFonts w:ascii="Arial" w:hAnsi="Arial"/>
        </w:rPr>
        <w:t>,</w:t>
      </w:r>
    </w:p>
    <w:p w14:paraId="786B39C1" w14:textId="77777777" w:rsidR="003006F5" w:rsidRPr="00826C9D" w:rsidRDefault="003006F5" w:rsidP="00C0119D">
      <w:pPr>
        <w:numPr>
          <w:ilvl w:val="0"/>
          <w:numId w:val="17"/>
        </w:numPr>
        <w:spacing w:before="120" w:after="120"/>
        <w:ind w:left="993" w:hanging="284"/>
        <w:jc w:val="both"/>
        <w:rPr>
          <w:rFonts w:ascii="Arial" w:hAnsi="Arial"/>
        </w:rPr>
      </w:pPr>
      <w:r w:rsidRPr="00826C9D">
        <w:rPr>
          <w:rFonts w:ascii="Arial" w:hAnsi="Arial"/>
        </w:rPr>
        <w:t xml:space="preserve">rozchylenie, rozejście i przesunięcia (pionowe i poziome) elementów względem siebie powodujące powstanie nieszczelności szerokości nie większej niż </w:t>
      </w:r>
      <w:smartTag w:uri="urn:schemas-microsoft-com:office:smarttags" w:element="metricconverter">
        <w:smartTagPr>
          <w:attr w:name="ProductID" w:val="2 cm"/>
        </w:smartTagPr>
        <w:r w:rsidRPr="00826C9D">
          <w:rPr>
            <w:rFonts w:ascii="Arial" w:hAnsi="Arial"/>
          </w:rPr>
          <w:t>2 cm</w:t>
        </w:r>
      </w:smartTag>
      <w:r w:rsidRPr="00826C9D">
        <w:rPr>
          <w:rFonts w:ascii="Arial" w:hAnsi="Arial"/>
        </w:rPr>
        <w:t>, o ile nie będzie powodować to zagrożenia wypadnięcia elementu oraz zostanie uszczelniona w sposób zapewniający odpowiednią skuteczność akustyczną ekranu,</w:t>
      </w:r>
    </w:p>
    <w:p w14:paraId="4493A177" w14:textId="77777777" w:rsidR="003006F5" w:rsidRPr="00826C9D" w:rsidRDefault="003006F5" w:rsidP="00C0119D">
      <w:pPr>
        <w:numPr>
          <w:ilvl w:val="0"/>
          <w:numId w:val="17"/>
        </w:numPr>
        <w:spacing w:before="120" w:after="120"/>
        <w:ind w:left="993" w:hanging="284"/>
        <w:jc w:val="both"/>
        <w:rPr>
          <w:rFonts w:ascii="Arial" w:hAnsi="Arial"/>
        </w:rPr>
      </w:pPr>
      <w:r w:rsidRPr="00826C9D">
        <w:rPr>
          <w:rFonts w:ascii="Arial" w:hAnsi="Arial"/>
        </w:rPr>
        <w:t xml:space="preserve">nieszczelność pomiędzy podwaliną ekranu oraz gruntem – nie dopuszcza się nieszczelności pomiędzy podwaliną ekranu oraz gruntem, za wyjątkiem ekranu zlokalizowanego poza obrysem korony drogi (na skarpie), wówczas dopuszcza się poziom szczeliny o wysokości </w:t>
      </w:r>
      <w:smartTag w:uri="urn:schemas-microsoft-com:office:smarttags" w:element="metricconverter">
        <w:smartTagPr>
          <w:attr w:name="ProductID" w:val="3 cm"/>
        </w:smartTagPr>
        <w:r w:rsidRPr="00826C9D">
          <w:rPr>
            <w:rFonts w:ascii="Arial" w:hAnsi="Arial"/>
          </w:rPr>
          <w:t>3 cm</w:t>
        </w:r>
      </w:smartTag>
      <w:r w:rsidRPr="00826C9D">
        <w:rPr>
          <w:rFonts w:ascii="Arial" w:hAnsi="Arial"/>
        </w:rPr>
        <w:t xml:space="preserve"> na długości stanowiącej max 10 % długości.</w:t>
      </w:r>
    </w:p>
    <w:p w14:paraId="6EA631E9" w14:textId="5412C7A6" w:rsidR="003006F5" w:rsidRPr="00826C9D" w:rsidRDefault="003006F5" w:rsidP="003006F5">
      <w:pPr>
        <w:spacing w:before="120" w:after="120"/>
        <w:jc w:val="both"/>
        <w:rPr>
          <w:rFonts w:ascii="Arial" w:hAnsi="Arial"/>
        </w:rPr>
      </w:pPr>
      <w:r w:rsidRPr="00826C9D">
        <w:rPr>
          <w:rFonts w:ascii="Arial" w:hAnsi="Arial"/>
        </w:rPr>
        <w:t xml:space="preserve">W przypadku wystąpienia wad o nieznacznych odstępstwach od dopuszczalnych form uszkodzeń </w:t>
      </w:r>
      <w:r w:rsidR="002A439E" w:rsidRPr="00826C9D">
        <w:rPr>
          <w:rFonts w:ascii="Arial" w:hAnsi="Arial"/>
        </w:rPr>
        <w:br/>
      </w:r>
      <w:r w:rsidRPr="00826C9D">
        <w:rPr>
          <w:rFonts w:ascii="Arial" w:hAnsi="Arial"/>
        </w:rPr>
        <w:t>i nieprawidłowości dopuszcza się naprawę uszkodzenia poprzez np. uszczelnieni bez konieczności wymiany danego elementu. Ocena konieczności wymiany lub napraw zostanie określona przez Komisję na podstawie wizji terenowej wykonywanej podczas przeglądu gwarancyjnego.</w:t>
      </w:r>
    </w:p>
    <w:p w14:paraId="78D5B61F" w14:textId="77777777" w:rsidR="003006F5" w:rsidRPr="00826C9D" w:rsidRDefault="003006F5" w:rsidP="003006F5">
      <w:pPr>
        <w:spacing w:before="120" w:after="120"/>
        <w:jc w:val="both"/>
        <w:rPr>
          <w:rFonts w:ascii="Arial" w:hAnsi="Arial"/>
        </w:rPr>
      </w:pPr>
      <w:r w:rsidRPr="00826C9D">
        <w:rPr>
          <w:rFonts w:ascii="Arial" w:hAnsi="Arial"/>
        </w:rPr>
        <w:t>W przypadku wystąpienia wad przekraczających dopuszczalne formy uszkodzeń i nieprawidłowości w terminie wcześniejszym niż przewidywany maksymalny okres gwarancji (120 miesięcy) wady winny być usunięte na zasadach określonych w warunkach Gwarancji Jakości oraz protokole z przeglądu gwarancyjnego.</w:t>
      </w:r>
    </w:p>
    <w:p w14:paraId="39B8B47B" w14:textId="77777777" w:rsidR="003006F5" w:rsidRPr="00826C9D" w:rsidRDefault="003006F5" w:rsidP="00C0119D">
      <w:pPr>
        <w:pStyle w:val="Nagwek2"/>
        <w:numPr>
          <w:ilvl w:val="0"/>
          <w:numId w:val="26"/>
        </w:numPr>
        <w:ind w:left="284" w:hanging="284"/>
        <w:rPr>
          <w:rFonts w:cs="Arial"/>
          <w:szCs w:val="20"/>
        </w:rPr>
      </w:pPr>
      <w:r w:rsidRPr="00826C9D">
        <w:rPr>
          <w:rFonts w:cs="Arial"/>
          <w:szCs w:val="20"/>
        </w:rPr>
        <w:br w:type="page"/>
      </w:r>
      <w:bookmarkStart w:id="47" w:name="_Toc198211973"/>
      <w:bookmarkStart w:id="48" w:name="_Toc218669637"/>
      <w:r w:rsidRPr="00826C9D">
        <w:rPr>
          <w:rFonts w:cs="Arial"/>
          <w:szCs w:val="20"/>
        </w:rPr>
        <w:lastRenderedPageBreak/>
        <w:t>OZNAKOWANIE DRÓG ORAZ URZĄDZENIA BEZPIECZEŃSTWA RUCHU</w:t>
      </w:r>
      <w:bookmarkEnd w:id="47"/>
      <w:bookmarkEnd w:id="48"/>
    </w:p>
    <w:p w14:paraId="7DF097D7" w14:textId="77777777" w:rsidR="003006F5" w:rsidRPr="00826C9D" w:rsidRDefault="003006F5" w:rsidP="00826C9D">
      <w:pPr>
        <w:pStyle w:val="Nagwek3"/>
        <w:numPr>
          <w:ilvl w:val="0"/>
          <w:numId w:val="41"/>
        </w:numPr>
      </w:pPr>
      <w:bookmarkStart w:id="49" w:name="_Toc218669638"/>
      <w:r w:rsidRPr="00826C9D">
        <w:t>Oznakowanie poziome</w:t>
      </w:r>
      <w:bookmarkEnd w:id="49"/>
    </w:p>
    <w:p w14:paraId="11FE060C" w14:textId="2BFFCEF3" w:rsidR="003006F5" w:rsidRPr="00826C9D" w:rsidRDefault="003006F5" w:rsidP="00C0119D">
      <w:pPr>
        <w:numPr>
          <w:ilvl w:val="0"/>
          <w:numId w:val="18"/>
        </w:numPr>
        <w:spacing w:before="120" w:after="120"/>
        <w:jc w:val="both"/>
        <w:rPr>
          <w:rFonts w:ascii="Arial" w:hAnsi="Arial"/>
        </w:rPr>
      </w:pPr>
      <w:r w:rsidRPr="00826C9D">
        <w:rPr>
          <w:rFonts w:ascii="Arial" w:hAnsi="Arial"/>
        </w:rPr>
        <w:t xml:space="preserve">oznakowanie cienkowarstwowe – </w:t>
      </w:r>
      <w:r w:rsidRPr="00826C9D">
        <w:rPr>
          <w:rFonts w:ascii="Arial" w:hAnsi="Arial"/>
          <w:b/>
        </w:rPr>
        <w:t>12 miesięcy</w:t>
      </w:r>
      <w:r w:rsidR="005A2D97">
        <w:rPr>
          <w:rFonts w:ascii="Arial" w:hAnsi="Arial"/>
          <w:b/>
        </w:rPr>
        <w:t xml:space="preserve"> </w:t>
      </w:r>
      <w:r w:rsidR="005A2D97" w:rsidRPr="005A2D97">
        <w:rPr>
          <w:rFonts w:ascii="Arial" w:hAnsi="Arial"/>
        </w:rPr>
        <w:t>gwarancji</w:t>
      </w:r>
    </w:p>
    <w:p w14:paraId="593AC669" w14:textId="0F834FE1" w:rsidR="003006F5" w:rsidRPr="00826C9D" w:rsidRDefault="003006F5" w:rsidP="00C0119D">
      <w:pPr>
        <w:numPr>
          <w:ilvl w:val="0"/>
          <w:numId w:val="18"/>
        </w:numPr>
        <w:spacing w:before="120" w:after="120"/>
        <w:jc w:val="both"/>
        <w:rPr>
          <w:rFonts w:ascii="Arial" w:hAnsi="Arial"/>
        </w:rPr>
      </w:pPr>
      <w:r w:rsidRPr="00826C9D">
        <w:rPr>
          <w:rFonts w:ascii="Arial" w:hAnsi="Arial"/>
        </w:rPr>
        <w:t xml:space="preserve">oznakowanie grubowarstwowe –  </w:t>
      </w:r>
      <w:r w:rsidRPr="00826C9D">
        <w:rPr>
          <w:rFonts w:ascii="Arial" w:hAnsi="Arial"/>
          <w:b/>
        </w:rPr>
        <w:t>48 miesięcy</w:t>
      </w:r>
      <w:r w:rsidR="005A2D97">
        <w:rPr>
          <w:rFonts w:ascii="Arial" w:hAnsi="Arial"/>
          <w:b/>
        </w:rPr>
        <w:t xml:space="preserve"> </w:t>
      </w:r>
      <w:r w:rsidR="005A2D97" w:rsidRPr="005A2D97">
        <w:rPr>
          <w:rFonts w:ascii="Arial" w:hAnsi="Arial"/>
        </w:rPr>
        <w:t>gwarancji</w:t>
      </w:r>
    </w:p>
    <w:p w14:paraId="3EDA91FF" w14:textId="77777777" w:rsidR="003006F5" w:rsidRPr="00826C9D" w:rsidRDefault="003006F5" w:rsidP="00826C9D">
      <w:pPr>
        <w:pStyle w:val="Nagwek3"/>
        <w:numPr>
          <w:ilvl w:val="0"/>
          <w:numId w:val="41"/>
        </w:numPr>
      </w:pPr>
      <w:bookmarkStart w:id="50" w:name="_Toc218669639"/>
      <w:r w:rsidRPr="00826C9D">
        <w:t>Oznakowanie pionowe</w:t>
      </w:r>
      <w:bookmarkEnd w:id="50"/>
      <w:r w:rsidRPr="00826C9D">
        <w:t xml:space="preserve"> </w:t>
      </w:r>
    </w:p>
    <w:p w14:paraId="621FB408" w14:textId="375300D3" w:rsidR="003006F5" w:rsidRPr="00826C9D" w:rsidRDefault="005A2D97" w:rsidP="003006F5">
      <w:pPr>
        <w:spacing w:before="120" w:after="120"/>
        <w:jc w:val="both"/>
        <w:rPr>
          <w:rFonts w:ascii="Arial" w:hAnsi="Arial"/>
        </w:rPr>
      </w:pPr>
      <w:r w:rsidRPr="00826C9D">
        <w:rPr>
          <w:rFonts w:ascii="Arial" w:hAnsi="Arial"/>
        </w:rPr>
        <w:t>[</w:t>
      </w:r>
      <w:r w:rsidRPr="00650008">
        <w:rPr>
          <w:rFonts w:ascii="Arial" w:hAnsi="Arial"/>
          <w:b/>
          <w:i/>
        </w:rPr>
        <w:t>minimum</w:t>
      </w:r>
      <w:r w:rsidRPr="00650008">
        <w:rPr>
          <w:rFonts w:ascii="Arial" w:hAnsi="Arial"/>
          <w:i/>
        </w:rPr>
        <w:t xml:space="preserve"> </w:t>
      </w:r>
      <w:r>
        <w:rPr>
          <w:rFonts w:ascii="Arial" w:hAnsi="Arial"/>
          <w:b/>
          <w:i/>
        </w:rPr>
        <w:t>60</w:t>
      </w:r>
      <w:r w:rsidRPr="00826C9D">
        <w:rPr>
          <w:rFonts w:ascii="Arial" w:hAnsi="Arial"/>
        </w:rPr>
        <w:t xml:space="preserve">] </w:t>
      </w:r>
      <w:r w:rsidRPr="00826C9D">
        <w:rPr>
          <w:rFonts w:ascii="Arial" w:hAnsi="Arial"/>
          <w:b/>
        </w:rPr>
        <w:t>miesięcy</w:t>
      </w:r>
      <w:r w:rsidRPr="00826C9D">
        <w:rPr>
          <w:rFonts w:ascii="Arial" w:hAnsi="Arial"/>
        </w:rPr>
        <w:t xml:space="preserve"> gwarancji zgodnie z Ofertą Wykonawcy</w:t>
      </w:r>
      <w:r w:rsidR="003006F5" w:rsidRPr="00826C9D">
        <w:rPr>
          <w:rFonts w:ascii="Arial" w:hAnsi="Arial"/>
        </w:rPr>
        <w:t>.</w:t>
      </w:r>
    </w:p>
    <w:p w14:paraId="102D1AB2" w14:textId="50EA6341" w:rsidR="00D4132C" w:rsidRDefault="00046065" w:rsidP="00826C9D">
      <w:pPr>
        <w:pStyle w:val="Nagwek3"/>
        <w:numPr>
          <w:ilvl w:val="0"/>
          <w:numId w:val="41"/>
        </w:numPr>
      </w:pPr>
      <w:bookmarkStart w:id="51" w:name="_Toc218669640"/>
      <w:r>
        <w:t>Sygnalizacja świetlna, monitoring wizyjny</w:t>
      </w:r>
      <w:r w:rsidR="007E2AC2">
        <w:t xml:space="preserve">, stacje </w:t>
      </w:r>
      <w:proofErr w:type="spellStart"/>
      <w:r w:rsidR="007E2AC2">
        <w:t>wideopomiaru</w:t>
      </w:r>
      <w:proofErr w:type="spellEnd"/>
      <w:r w:rsidR="007E2AC2">
        <w:t>, wszystkie systemy sterowania i zarządzania ruchem</w:t>
      </w:r>
      <w:bookmarkEnd w:id="51"/>
    </w:p>
    <w:p w14:paraId="453A60BA" w14:textId="58119611" w:rsidR="007649F5" w:rsidRPr="00D36488" w:rsidRDefault="007649F5" w:rsidP="007649F5">
      <w:pPr>
        <w:pStyle w:val="Akapitzlist"/>
        <w:numPr>
          <w:ilvl w:val="0"/>
          <w:numId w:val="18"/>
        </w:numPr>
        <w:rPr>
          <w:lang w:eastAsia="en-US"/>
        </w:rPr>
      </w:pPr>
      <w:r w:rsidRPr="002B7B8F">
        <w:rPr>
          <w:rFonts w:ascii="Arial" w:hAnsi="Arial"/>
        </w:rPr>
        <w:t xml:space="preserve">wszystkie elementy sygnalizacji (w tym m.in. </w:t>
      </w:r>
      <w:r w:rsidR="002B7B8F" w:rsidRPr="002B7B8F">
        <w:rPr>
          <w:rFonts w:ascii="Arial" w:hAnsi="Arial"/>
        </w:rPr>
        <w:t>sygnalizatory</w:t>
      </w:r>
      <w:r w:rsidR="002B7B8F">
        <w:rPr>
          <w:rFonts w:ascii="Arial" w:hAnsi="Arial"/>
        </w:rPr>
        <w:t xml:space="preserve">, ekrany kontrastowe, konstrukcje wsporcze, sterowniki, urządzenia detekcyjne, elementy transmisji danych, instalacja kablowa, sygnalizatory akustyczne i wibracyjne i in.) </w:t>
      </w:r>
      <w:r w:rsidR="002B7B8F">
        <w:rPr>
          <w:lang w:eastAsia="en-US"/>
        </w:rPr>
        <w:t xml:space="preserve"> – </w:t>
      </w:r>
      <w:r w:rsidR="005A2D97" w:rsidRPr="00826C9D">
        <w:rPr>
          <w:rFonts w:ascii="Arial" w:hAnsi="Arial"/>
        </w:rPr>
        <w:t>[</w:t>
      </w:r>
      <w:r w:rsidR="005A2D97" w:rsidRPr="00650008">
        <w:rPr>
          <w:rFonts w:ascii="Arial" w:hAnsi="Arial"/>
          <w:b/>
          <w:i/>
        </w:rPr>
        <w:t>minimum</w:t>
      </w:r>
      <w:r w:rsidR="005A2D97" w:rsidRPr="00650008">
        <w:rPr>
          <w:rFonts w:ascii="Arial" w:hAnsi="Arial"/>
          <w:i/>
        </w:rPr>
        <w:t xml:space="preserve"> </w:t>
      </w:r>
      <w:r w:rsidR="005A2D97">
        <w:rPr>
          <w:rFonts w:ascii="Arial" w:hAnsi="Arial"/>
          <w:b/>
          <w:i/>
        </w:rPr>
        <w:t>60</w:t>
      </w:r>
      <w:r w:rsidR="005A2D97" w:rsidRPr="00826C9D">
        <w:rPr>
          <w:rFonts w:ascii="Arial" w:hAnsi="Arial"/>
        </w:rPr>
        <w:t xml:space="preserve">] </w:t>
      </w:r>
      <w:r w:rsidR="005A2D97" w:rsidRPr="00826C9D">
        <w:rPr>
          <w:rFonts w:ascii="Arial" w:hAnsi="Arial"/>
          <w:b/>
        </w:rPr>
        <w:t>miesięcy</w:t>
      </w:r>
      <w:r w:rsidR="005A2D97" w:rsidRPr="00826C9D">
        <w:rPr>
          <w:rFonts w:ascii="Arial" w:hAnsi="Arial"/>
        </w:rPr>
        <w:t xml:space="preserve"> gwarancji zgodnie z Ofertą Wykonawcy</w:t>
      </w:r>
    </w:p>
    <w:p w14:paraId="35B6F04E" w14:textId="035420DD" w:rsidR="00D36488" w:rsidRPr="00B1371A" w:rsidRDefault="007E2AC2" w:rsidP="00B1371A">
      <w:pPr>
        <w:pStyle w:val="Akapitzlist"/>
        <w:numPr>
          <w:ilvl w:val="0"/>
          <w:numId w:val="18"/>
        </w:numPr>
        <w:rPr>
          <w:lang w:eastAsia="en-US"/>
        </w:rPr>
      </w:pPr>
      <w:r w:rsidRPr="007E2AC2">
        <w:rPr>
          <w:rFonts w:ascii="Arial" w:hAnsi="Arial"/>
        </w:rPr>
        <w:t xml:space="preserve">monitoring wizyjny, stacje </w:t>
      </w:r>
      <w:proofErr w:type="spellStart"/>
      <w:r w:rsidRPr="007E2AC2">
        <w:rPr>
          <w:rFonts w:ascii="Arial" w:hAnsi="Arial"/>
        </w:rPr>
        <w:t>wideopomiaru</w:t>
      </w:r>
      <w:proofErr w:type="spellEnd"/>
      <w:r w:rsidRPr="007E2AC2">
        <w:rPr>
          <w:rFonts w:ascii="Arial" w:hAnsi="Arial"/>
        </w:rPr>
        <w:t>, wszystkie systemy sterowania i zarządzania ruchem</w:t>
      </w:r>
      <w:r w:rsidR="005F3A7B">
        <w:rPr>
          <w:rFonts w:ascii="Arial" w:hAnsi="Arial"/>
        </w:rPr>
        <w:t xml:space="preserve"> </w:t>
      </w:r>
      <w:r w:rsidR="00B1371A">
        <w:rPr>
          <w:lang w:eastAsia="en-US"/>
        </w:rPr>
        <w:t xml:space="preserve">– </w:t>
      </w:r>
      <w:r w:rsidR="00B1371A" w:rsidRPr="00826C9D">
        <w:rPr>
          <w:rFonts w:ascii="Arial" w:hAnsi="Arial"/>
        </w:rPr>
        <w:t>[</w:t>
      </w:r>
      <w:r w:rsidR="00B1371A" w:rsidRPr="00650008">
        <w:rPr>
          <w:rFonts w:ascii="Arial" w:hAnsi="Arial"/>
          <w:b/>
          <w:i/>
        </w:rPr>
        <w:t>minimum</w:t>
      </w:r>
      <w:r w:rsidR="00B1371A" w:rsidRPr="00650008">
        <w:rPr>
          <w:rFonts w:ascii="Arial" w:hAnsi="Arial"/>
          <w:i/>
        </w:rPr>
        <w:t xml:space="preserve"> </w:t>
      </w:r>
      <w:r w:rsidR="00B1371A">
        <w:rPr>
          <w:rFonts w:ascii="Arial" w:hAnsi="Arial"/>
          <w:b/>
          <w:i/>
        </w:rPr>
        <w:t>60</w:t>
      </w:r>
      <w:r w:rsidR="00B1371A" w:rsidRPr="00826C9D">
        <w:rPr>
          <w:rFonts w:ascii="Arial" w:hAnsi="Arial"/>
        </w:rPr>
        <w:t xml:space="preserve">] </w:t>
      </w:r>
      <w:r w:rsidR="00B1371A" w:rsidRPr="00826C9D">
        <w:rPr>
          <w:rFonts w:ascii="Arial" w:hAnsi="Arial"/>
          <w:b/>
        </w:rPr>
        <w:t>miesięcy</w:t>
      </w:r>
      <w:r w:rsidR="00B1371A" w:rsidRPr="00826C9D">
        <w:rPr>
          <w:rFonts w:ascii="Arial" w:hAnsi="Arial"/>
        </w:rPr>
        <w:t xml:space="preserve"> gwarancji zgodnie z Ofertą Wykonawcy</w:t>
      </w:r>
    </w:p>
    <w:p w14:paraId="793E62E0" w14:textId="78B6036D" w:rsidR="007E2AC2" w:rsidRDefault="007E2AC2" w:rsidP="007E2AC2">
      <w:pPr>
        <w:pStyle w:val="Akapitzlist"/>
        <w:rPr>
          <w:rFonts w:ascii="Arial" w:hAnsi="Arial"/>
        </w:rPr>
      </w:pPr>
    </w:p>
    <w:p w14:paraId="79AE58DE" w14:textId="2B2F7873" w:rsidR="007E2AC2" w:rsidRDefault="007E2AC2" w:rsidP="007E2AC2">
      <w:pPr>
        <w:pStyle w:val="Akapitzlist"/>
        <w:rPr>
          <w:rFonts w:ascii="Arial" w:hAnsi="Arial"/>
        </w:rPr>
      </w:pPr>
      <w:r>
        <w:rPr>
          <w:rFonts w:ascii="Arial" w:hAnsi="Arial"/>
        </w:rPr>
        <w:t>UWAGA: W ramach serwisu gwarancyjnego dla przedmiotowego punktu</w:t>
      </w:r>
      <w:r w:rsidR="00B1371A">
        <w:rPr>
          <w:rFonts w:ascii="Arial" w:hAnsi="Arial"/>
        </w:rPr>
        <w:t xml:space="preserve"> 4.3</w:t>
      </w:r>
      <w:r>
        <w:rPr>
          <w:rFonts w:ascii="Arial" w:hAnsi="Arial"/>
        </w:rPr>
        <w:t xml:space="preserve"> wady mogą być zgłaszane przez Zamawiającego zarówno pisemnie jak i pocztą elektroniczną, a także poprzez stworzony przez Wykonawcę </w:t>
      </w:r>
      <w:r w:rsidR="005F3A7B" w:rsidRPr="005F3A7B">
        <w:rPr>
          <w:rFonts w:ascii="Arial" w:hAnsi="Arial"/>
        </w:rPr>
        <w:t>internetowy system przyjmowania i obsługi zgłoszeń</w:t>
      </w:r>
      <w:r w:rsidR="005F3A7B">
        <w:rPr>
          <w:rFonts w:ascii="Arial" w:hAnsi="Arial"/>
        </w:rPr>
        <w:t>.</w:t>
      </w:r>
    </w:p>
    <w:p w14:paraId="554BB349" w14:textId="74769E67" w:rsidR="007E2AC2" w:rsidRDefault="007E2AC2" w:rsidP="007E2AC2">
      <w:pPr>
        <w:pStyle w:val="Akapitzlist"/>
        <w:rPr>
          <w:rFonts w:ascii="Arial" w:hAnsi="Arial"/>
        </w:rPr>
      </w:pPr>
    </w:p>
    <w:p w14:paraId="21714C5E" w14:textId="03ACB4D7" w:rsidR="007E2AC2" w:rsidRPr="005F3A7B" w:rsidRDefault="007E2AC2" w:rsidP="005F3A7B">
      <w:pPr>
        <w:pStyle w:val="Akapitzlist"/>
        <w:rPr>
          <w:rFonts w:ascii="Arial" w:hAnsi="Arial"/>
        </w:rPr>
      </w:pPr>
      <w:r>
        <w:rPr>
          <w:rFonts w:ascii="Arial" w:hAnsi="Arial"/>
        </w:rPr>
        <w:t>Serwis gwarancyjny obejmuje m.in.:</w:t>
      </w:r>
    </w:p>
    <w:p w14:paraId="201495CF" w14:textId="6B6BA33B" w:rsidR="007E2AC2" w:rsidRPr="007E2AC2" w:rsidRDefault="007E2AC2" w:rsidP="007E2AC2">
      <w:pPr>
        <w:pStyle w:val="Akapitzlist"/>
        <w:rPr>
          <w:rFonts w:ascii="Arial" w:hAnsi="Arial"/>
        </w:rPr>
      </w:pPr>
      <w:r>
        <w:rPr>
          <w:rFonts w:ascii="Arial" w:hAnsi="Arial"/>
        </w:rPr>
        <w:t xml:space="preserve">- </w:t>
      </w:r>
      <w:r w:rsidRPr="007E2AC2">
        <w:rPr>
          <w:rFonts w:ascii="Arial" w:hAnsi="Arial"/>
        </w:rPr>
        <w:t>Monitoring i nadzór nad pracą sygnalizacji świetlnej, sterowników, kamer, detektorów i serwerów,</w:t>
      </w:r>
    </w:p>
    <w:p w14:paraId="50C3F207" w14:textId="4858E796" w:rsidR="007E2AC2" w:rsidRPr="007E2AC2" w:rsidRDefault="007E2AC2" w:rsidP="007E2AC2">
      <w:pPr>
        <w:pStyle w:val="Akapitzlist"/>
        <w:rPr>
          <w:rFonts w:ascii="Arial" w:hAnsi="Arial"/>
        </w:rPr>
      </w:pPr>
      <w:r>
        <w:rPr>
          <w:rFonts w:ascii="Arial" w:hAnsi="Arial"/>
        </w:rPr>
        <w:t xml:space="preserve">- </w:t>
      </w:r>
      <w:r w:rsidRPr="007E2AC2">
        <w:rPr>
          <w:rFonts w:ascii="Arial" w:hAnsi="Arial"/>
        </w:rPr>
        <w:t>Diagnostykę (również zdalną) oraz usuwanie usterek (np. błędy sterowników, brak obrazu z kamer itp.).</w:t>
      </w:r>
    </w:p>
    <w:p w14:paraId="0828C97E" w14:textId="4D4B2E7E" w:rsidR="007E2AC2" w:rsidRPr="007E2AC2" w:rsidRDefault="007E2AC2" w:rsidP="007E2AC2">
      <w:pPr>
        <w:pStyle w:val="Akapitzlist"/>
        <w:rPr>
          <w:rFonts w:ascii="Arial" w:hAnsi="Arial"/>
        </w:rPr>
      </w:pPr>
      <w:r>
        <w:rPr>
          <w:rFonts w:ascii="Arial" w:hAnsi="Arial"/>
        </w:rPr>
        <w:t xml:space="preserve">- </w:t>
      </w:r>
      <w:r w:rsidRPr="007E2AC2">
        <w:rPr>
          <w:rFonts w:ascii="Arial" w:hAnsi="Arial"/>
        </w:rPr>
        <w:t>Wysyłanie ekip serwisowych w teren w przypadku awarii urządzeń (np. sygnalizator, detektor, kamera, itp.).</w:t>
      </w:r>
    </w:p>
    <w:p w14:paraId="1FC69D2C" w14:textId="3AAAAA0E" w:rsidR="007E2AC2" w:rsidRPr="007E2AC2" w:rsidRDefault="007E2AC2" w:rsidP="007E2AC2">
      <w:pPr>
        <w:pStyle w:val="Akapitzlist"/>
        <w:rPr>
          <w:rFonts w:ascii="Arial" w:hAnsi="Arial"/>
        </w:rPr>
      </w:pPr>
      <w:r>
        <w:rPr>
          <w:rFonts w:ascii="Arial" w:hAnsi="Arial"/>
        </w:rPr>
        <w:t xml:space="preserve">- </w:t>
      </w:r>
      <w:r w:rsidRPr="007E2AC2">
        <w:rPr>
          <w:rFonts w:ascii="Arial" w:hAnsi="Arial"/>
        </w:rPr>
        <w:t>Usuwanie usterek w oprogramowaniu,</w:t>
      </w:r>
    </w:p>
    <w:p w14:paraId="218875E1" w14:textId="09D837B7" w:rsidR="007E2AC2" w:rsidRPr="007E2AC2" w:rsidRDefault="007E2AC2" w:rsidP="007E2AC2">
      <w:pPr>
        <w:pStyle w:val="Akapitzlist"/>
        <w:rPr>
          <w:rFonts w:ascii="Arial" w:hAnsi="Arial"/>
        </w:rPr>
      </w:pPr>
      <w:r>
        <w:rPr>
          <w:rFonts w:ascii="Arial" w:hAnsi="Arial"/>
        </w:rPr>
        <w:t xml:space="preserve">- </w:t>
      </w:r>
      <w:r w:rsidRPr="007E2AC2">
        <w:rPr>
          <w:rFonts w:ascii="Arial" w:hAnsi="Arial"/>
        </w:rPr>
        <w:t>Aktualizację oprogramowania do sterowania ruchem, aktualizacje oprogramowania sterowników i serwerów (w tym poprawki bezpieczeństwa itp.) i wszelkie inne aktualizacje oprogramowania dostarczonego w ramach niniejszego zamówienia przez cały okres gwarancyjny,</w:t>
      </w:r>
    </w:p>
    <w:p w14:paraId="728B6E31" w14:textId="5E936818" w:rsidR="007E2AC2" w:rsidRDefault="007E2AC2" w:rsidP="007E2AC2">
      <w:pPr>
        <w:pStyle w:val="Akapitzlist"/>
        <w:rPr>
          <w:rFonts w:ascii="Arial" w:hAnsi="Arial"/>
        </w:rPr>
      </w:pPr>
      <w:r>
        <w:rPr>
          <w:rFonts w:ascii="Arial" w:hAnsi="Arial"/>
        </w:rPr>
        <w:t xml:space="preserve">- </w:t>
      </w:r>
      <w:r w:rsidRPr="007E2AC2">
        <w:rPr>
          <w:rFonts w:ascii="Arial" w:hAnsi="Arial"/>
        </w:rPr>
        <w:t>Wsparcie użytkowników i operatorów Centrum Sterowania Ruchem (np. obsługa nietypowych sytuacji, wsparcie telefoniczne i zdalne w razie problemów).</w:t>
      </w:r>
    </w:p>
    <w:p w14:paraId="580D3B75" w14:textId="7FD0006E" w:rsidR="005F3A7B" w:rsidRDefault="005F3A7B" w:rsidP="007E2AC2">
      <w:pPr>
        <w:pStyle w:val="Akapitzlist"/>
        <w:rPr>
          <w:rFonts w:ascii="Arial" w:hAnsi="Arial"/>
        </w:rPr>
      </w:pPr>
    </w:p>
    <w:p w14:paraId="5C9F3B75" w14:textId="0E3C6500" w:rsidR="005F3A7B" w:rsidRPr="005F3A7B" w:rsidRDefault="005F3A7B" w:rsidP="005F3A7B">
      <w:pPr>
        <w:pStyle w:val="Akapitzlist"/>
        <w:rPr>
          <w:rFonts w:ascii="Arial" w:hAnsi="Arial"/>
        </w:rPr>
      </w:pPr>
      <w:r>
        <w:rPr>
          <w:rFonts w:ascii="Arial" w:hAnsi="Arial"/>
        </w:rPr>
        <w:t>Ponadto:</w:t>
      </w:r>
    </w:p>
    <w:p w14:paraId="47F97339" w14:textId="13C030B4" w:rsidR="005F3A7B" w:rsidRPr="005F3A7B" w:rsidRDefault="005F3A7B" w:rsidP="005F3A7B">
      <w:pPr>
        <w:pStyle w:val="Akapitzlist"/>
        <w:rPr>
          <w:rFonts w:ascii="Arial" w:hAnsi="Arial"/>
        </w:rPr>
      </w:pPr>
      <w:r>
        <w:rPr>
          <w:rFonts w:ascii="Arial" w:hAnsi="Arial"/>
        </w:rPr>
        <w:t xml:space="preserve">- </w:t>
      </w:r>
      <w:r w:rsidRPr="005F3A7B">
        <w:rPr>
          <w:rFonts w:ascii="Arial" w:hAnsi="Arial"/>
        </w:rPr>
        <w:t>W ramach udzielonej gwarancji Wykonawca zapewnia serwis techniczny i nie może odmówić́ wykonania prac serwisowych, wykonania naprawy lub wymiany niesprawnego elementu Systemu na nowy, w przypadku, gdy przeprowadzone prace serwisowe lub naprawa nie gwarantuje prawidłowej i stabilnej pracy Systemu sterowania ruchem.</w:t>
      </w:r>
    </w:p>
    <w:p w14:paraId="47C61A2A" w14:textId="00641341" w:rsidR="005F3A7B" w:rsidRPr="005F3A7B" w:rsidRDefault="005F3A7B" w:rsidP="005F3A7B">
      <w:pPr>
        <w:pStyle w:val="Akapitzlist"/>
        <w:rPr>
          <w:rFonts w:ascii="Arial" w:hAnsi="Arial"/>
        </w:rPr>
      </w:pPr>
      <w:r>
        <w:rPr>
          <w:rFonts w:ascii="Arial" w:hAnsi="Arial"/>
        </w:rPr>
        <w:t xml:space="preserve">- </w:t>
      </w:r>
      <w:r w:rsidRPr="005F3A7B">
        <w:rPr>
          <w:rFonts w:ascii="Arial" w:hAnsi="Arial"/>
        </w:rPr>
        <w:t xml:space="preserve">Okres gwarancji w odniesieniu do dostarczonych urządzeń przedłuża się każdorazowo o liczbę dni przestoju spowodowanego awarią sprzętu i okresu trwania jego naprawy; </w:t>
      </w:r>
    </w:p>
    <w:p w14:paraId="022C5E93" w14:textId="299D5EB7" w:rsidR="005F3A7B" w:rsidRPr="005F3A7B" w:rsidRDefault="005F3A7B" w:rsidP="005F3A7B">
      <w:pPr>
        <w:pStyle w:val="Akapitzlist"/>
        <w:rPr>
          <w:rFonts w:ascii="Arial" w:hAnsi="Arial"/>
        </w:rPr>
      </w:pPr>
      <w:r>
        <w:rPr>
          <w:rFonts w:ascii="Arial" w:hAnsi="Arial"/>
        </w:rPr>
        <w:t xml:space="preserve">- </w:t>
      </w:r>
      <w:r w:rsidRPr="005F3A7B">
        <w:rPr>
          <w:rFonts w:ascii="Arial" w:hAnsi="Arial"/>
        </w:rPr>
        <w:t xml:space="preserve">W ramach gwarancji Wykonawca uruchomi, będzie utrzymywał i udostępni Zamawiającemu interaktywny, internetowy system przyjmowania i obsługi zgłoszeń o wadach i usterkach i awariach, a także zapytań i uwag Zamawiającego składanych w ramach asysty technicznej. Prowadzenie rejestru zgłoszeń jest obowiązkiem Wykonawcy. System powinien funkcjonować </w:t>
      </w:r>
      <w:r w:rsidRPr="005F3A7B">
        <w:rPr>
          <w:rFonts w:ascii="Arial" w:hAnsi="Arial"/>
        </w:rPr>
        <w:lastRenderedPageBreak/>
        <w:t>nieprzerwanie przez okres obowiązywania gwarancji i potwierdzać w czasie rzeczywistym przyjęcie zgłoszenia (w tym poprzez przesłanie potwierdzenia na wskazane przez Zamawiającego adresy e-mail). Dodatkowo Wykonawca uruchomi równ</w:t>
      </w:r>
      <w:r>
        <w:rPr>
          <w:rFonts w:ascii="Arial" w:hAnsi="Arial"/>
        </w:rPr>
        <w:t>ież dedykowany nr telefonu</w:t>
      </w:r>
      <w:r w:rsidRPr="005F3A7B">
        <w:rPr>
          <w:rFonts w:ascii="Arial" w:hAnsi="Arial"/>
        </w:rPr>
        <w:t xml:space="preserve"> oraz skrzynkę e-mail o dedykowanym adresie, które będą mogły być wykorzystywane przez Zamawiającego w sytuacji niedostępności systemu internetowego lub w sytuacjach, w których niezbędny będzie bezpośredni kontakt (te</w:t>
      </w:r>
      <w:r>
        <w:rPr>
          <w:rFonts w:ascii="Arial" w:hAnsi="Arial"/>
        </w:rPr>
        <w:t>lefon</w:t>
      </w:r>
      <w:r w:rsidRPr="005F3A7B">
        <w:rPr>
          <w:rFonts w:ascii="Arial" w:hAnsi="Arial"/>
        </w:rPr>
        <w:t>, e-mail) z konsultantem Wykonawcy (w tym w ramach asysty technicznej). Bezpośredni kontakt z konsultantem Wykonawcy powinien być możliwy minimum w dni robocze pomiędzy godzinami 7.30.a 15.30. Wszystkie wymienione powyżej formy kontaktu (poprzez s</w:t>
      </w:r>
      <w:r>
        <w:rPr>
          <w:rFonts w:ascii="Arial" w:hAnsi="Arial"/>
        </w:rPr>
        <w:t>ystem internetowy, telefon</w:t>
      </w:r>
      <w:r w:rsidRPr="005F3A7B">
        <w:rPr>
          <w:rFonts w:ascii="Arial" w:hAnsi="Arial"/>
        </w:rPr>
        <w:t xml:space="preserve">, e-mail) pomiędzy Zamawiającym, a Wykonawcą (gwarantem) stanowią kanał komunikacyjny; </w:t>
      </w:r>
    </w:p>
    <w:p w14:paraId="48372329" w14:textId="7E8F57B2" w:rsidR="005F3A7B" w:rsidRPr="005F3A7B" w:rsidRDefault="005F3A7B" w:rsidP="005F3A7B">
      <w:pPr>
        <w:pStyle w:val="Akapitzlist"/>
        <w:rPr>
          <w:rFonts w:ascii="Arial" w:hAnsi="Arial"/>
        </w:rPr>
      </w:pPr>
      <w:r>
        <w:rPr>
          <w:rFonts w:ascii="Arial" w:hAnsi="Arial"/>
        </w:rPr>
        <w:t xml:space="preserve">- </w:t>
      </w:r>
      <w:r w:rsidRPr="005F3A7B">
        <w:rPr>
          <w:rFonts w:ascii="Arial" w:hAnsi="Arial"/>
        </w:rPr>
        <w:t xml:space="preserve">Wykonawca, minimum w okresie gwarancji, zapewni serwis gwarancyjny dla </w:t>
      </w:r>
      <w:r>
        <w:rPr>
          <w:rFonts w:ascii="Arial" w:hAnsi="Arial"/>
        </w:rPr>
        <w:t>elementów zawartych w niniejszym punkcie 4.3.</w:t>
      </w:r>
      <w:r w:rsidRPr="005F3A7B">
        <w:rPr>
          <w:rFonts w:ascii="Arial" w:hAnsi="Arial"/>
        </w:rPr>
        <w:t xml:space="preserve"> w trybie 24 godziny na dobę 7 dni w tygodniu 365 dni w roku, z pół godzinnym czasem reakcji i gwarantowanym czasem usunięcia awarii dla urządzeń zlokalizowanych w pasie ruchu drogowego oraz 1 godzinnym czasem reakcji i gwarantowanym czasem usunięcia awarii dla rozwiązań aplikacyjnych zlokalizowanych w centrum zarządzania ruchem, nie dłuższym niż 1 dzień od zgłoszenia i udostępnienia (w przypadku oprogramowania również zdalnego) przedmiotu naprawy przez Zamawiającego. </w:t>
      </w:r>
    </w:p>
    <w:p w14:paraId="064CC64C" w14:textId="479DD566"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W ramach serwisu gwarancyjnego Wykonawca wykona również wymagane do utrzymania gwarancji, przeglądy i konserwacje infrastruktury sprzętowej oraz modyfikacje oprogramowania. Jeżeli zalecenia producenta dostarczonego sprzętu nie będą zawierać bardziej rygorystycznych wymagań, Wykonawca w okresie udzielonej gwarancji przynajmniej jeden raz w roku zapewni pełny i bezpłatny przegląd gwarancyjny całego Systemu, oraz minimum jeden pełny i bezpłatny przegląd pogwarancyjny wykonywany w ostatnim miesiącu gwarancji w terminie uzgodnionym z Zamawiającym, przy udziale Zamawiającego.</w:t>
      </w:r>
    </w:p>
    <w:p w14:paraId="4A600263" w14:textId="6D1FA128"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W przypadku napraw trwających dłużej niż 1 dzień Wykonawca jest zobowiązany zastąpić w ciągu 48 godzin uszkodzony element systemu (nie dotyczy oprogramowania) -na czas naprawy- innym elementem o równoważnej funkcjonalności i parametrach. W przypadku oprogramowania, obowiązki Wykonawcy sprowadzają się do jak najszybszego dokonania naprawy. </w:t>
      </w:r>
    </w:p>
    <w:p w14:paraId="60487351" w14:textId="0329EC2F"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Wszelkie naprawy gwarancyjne będą dokonywane, przez serwis gwarancyjny autoryzowany przez producenta, w obecności Zamawiającego.</w:t>
      </w:r>
    </w:p>
    <w:p w14:paraId="567CE515" w14:textId="75B7F2E8"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Wykonawca przy pracach wynikających z gwarancji zobowiązuje się do stosowania materiałów i urządzeń posiadających datę</w:t>
      </w:r>
      <w:r>
        <w:rPr>
          <w:rFonts w:ascii="Arial" w:hAnsi="Arial"/>
        </w:rPr>
        <w:t xml:space="preserve"> produkcji nie starszą niż </w:t>
      </w:r>
      <w:r w:rsidR="005F3A7B" w:rsidRPr="005F3A7B">
        <w:rPr>
          <w:rFonts w:ascii="Arial" w:hAnsi="Arial"/>
        </w:rPr>
        <w:t>rok</w:t>
      </w:r>
      <w:r>
        <w:rPr>
          <w:rFonts w:ascii="Arial" w:hAnsi="Arial"/>
        </w:rPr>
        <w:t xml:space="preserve"> odbioru przedmiotu zamówienia</w:t>
      </w:r>
      <w:r w:rsidR="005F3A7B" w:rsidRPr="005F3A7B">
        <w:rPr>
          <w:rFonts w:ascii="Arial" w:hAnsi="Arial"/>
        </w:rPr>
        <w:t xml:space="preserve">. </w:t>
      </w:r>
    </w:p>
    <w:p w14:paraId="106D3DBC" w14:textId="7777D252"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W przypadku wad lub usterek lub awarii urządzeń przechowujących trwale zapisane informacje (dyski twarde, pamięci FLASH, itp.) naprawiane będą one w siedzibie Zamawiającego, a w przypadku konieczności ich wymiany uszkodzone (wadliwe) urządzenia pozostają u Zamawiającego. </w:t>
      </w:r>
    </w:p>
    <w:p w14:paraId="49E60660" w14:textId="31470CB9"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Za transport sprzętu objętego gwarancją, do serwisu oraz jego zwrot odpowiada i ponosi koszty Wykonawca. </w:t>
      </w:r>
    </w:p>
    <w:p w14:paraId="188F69BE" w14:textId="5C293673"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Jeżeli w okresie gwarancyjnym wystąpi awaria urządzenia niemożliwa do usunięcia lub urządzenie będzie niesprawne pomimo wykonania uprzednio trzech napraw, Wykonawca jest zobowiązany do jego wymiany na fabrycznie nowy o parametrach nie gorszych niż określono w SWZ. </w:t>
      </w:r>
    </w:p>
    <w:p w14:paraId="50D861D5" w14:textId="56E424B6"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W przypadku, gdy Wykonawca w okresie gwarancyjnym nie przystąpi do usunięcia awarii w terminie 1 dnia od zgłoszenia i udostępnienia przedmiotu naprawy przez Zamawiającego lub nie usunie zgłoszonej awarii w czasie 48 godzin od zgłoszenia i udostępnienia przedmiotu naprawy przez Zamawiającego. Zamawiający zastrzega sobie prawo do zlecenia usunięcia awarii innemu podmiotowi, a fakturą obciąży Wykonawcę - gwaranta. </w:t>
      </w:r>
    </w:p>
    <w:p w14:paraId="3A4E368A" w14:textId="610B18B2" w:rsidR="005F3A7B" w:rsidRPr="005F3A7B" w:rsidRDefault="00ED5D80" w:rsidP="005F3A7B">
      <w:pPr>
        <w:pStyle w:val="Akapitzlist"/>
        <w:rPr>
          <w:rFonts w:ascii="Arial" w:hAnsi="Arial"/>
        </w:rPr>
      </w:pPr>
      <w:r>
        <w:rPr>
          <w:rFonts w:ascii="Arial" w:hAnsi="Arial"/>
        </w:rPr>
        <w:lastRenderedPageBreak/>
        <w:t xml:space="preserve">- </w:t>
      </w:r>
      <w:r w:rsidR="005F3A7B" w:rsidRPr="005F3A7B">
        <w:rPr>
          <w:rFonts w:ascii="Arial" w:hAnsi="Arial"/>
        </w:rPr>
        <w:t>W ramach gwarancji Wykonawca zapewni również asystę techniczną, rozumianą jako konsultacje merytoryczne w zakresie funkcjonowania, testowania i konfigur</w:t>
      </w:r>
      <w:r>
        <w:rPr>
          <w:rFonts w:ascii="Arial" w:hAnsi="Arial"/>
        </w:rPr>
        <w:t>acji urządzeń i oprogramowania dostarczonych w ramach zamówienia systemów</w:t>
      </w:r>
      <w:r w:rsidR="005F3A7B" w:rsidRPr="005F3A7B">
        <w:rPr>
          <w:rFonts w:ascii="Arial" w:hAnsi="Arial"/>
        </w:rPr>
        <w:t xml:space="preserve">, w tym wsparcie przy indywidualnym dostosowywaniu środowiska pracy i dodatkowych pracach wdrożeniowych. Asysta ta powinna być świadczona poprzez Wykonawcę za pośrednictwem kanału komunikacyjnego w dni robocze w godzinach od 10.00-18.00. Przy czym czas odpowiedzi na pytania i uwagi Zmawiającego nie może przekroczyć 1 dnia roboczego od momentu zgłoszenia ich przez Zamawiającego. </w:t>
      </w:r>
    </w:p>
    <w:p w14:paraId="658F1F4D" w14:textId="520057CB"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Odpowiedzialność Wykonawcy z tytułu gwarancji za wady fizyczne dotyczy wad w dostarczonych urządzeniach lub wykonanych robotach, które istniały w czasie dokonywania czynności odbioru oraz wad powstałych po odbiorze. </w:t>
      </w:r>
    </w:p>
    <w:p w14:paraId="7A569F6A" w14:textId="1EE1B6F6"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 xml:space="preserve">Okres gwarancji jakości będzie przedłużony o okres konieczny do dokonania naprawy, o ile przepisy Kodeksu cywilnego nie przewidują, że ze względu na rodzaj wady okres rękojmi lub gwarancji biegnie od początku. </w:t>
      </w:r>
    </w:p>
    <w:p w14:paraId="5F75B600" w14:textId="1BF278EE" w:rsidR="005F3A7B" w:rsidRPr="005F3A7B" w:rsidRDefault="00ED5D80" w:rsidP="005F3A7B">
      <w:pPr>
        <w:pStyle w:val="Akapitzlist"/>
        <w:rPr>
          <w:rFonts w:ascii="Arial" w:hAnsi="Arial"/>
        </w:rPr>
      </w:pPr>
      <w:r>
        <w:rPr>
          <w:rFonts w:ascii="Arial" w:hAnsi="Arial"/>
        </w:rPr>
        <w:t xml:space="preserve">- </w:t>
      </w:r>
      <w:r w:rsidR="005F3A7B" w:rsidRPr="005F3A7B">
        <w:rPr>
          <w:rFonts w:ascii="Arial" w:hAnsi="Arial"/>
        </w:rPr>
        <w:t>Dla elementów wymienionych na nowe w okresie gwarancji bieg okresu gwarancji rozpoczyna się na nowo.</w:t>
      </w:r>
    </w:p>
    <w:p w14:paraId="754A9349" w14:textId="67D92353" w:rsidR="003006F5" w:rsidRPr="00826C9D" w:rsidRDefault="003006F5" w:rsidP="00826C9D">
      <w:pPr>
        <w:pStyle w:val="Nagwek3"/>
        <w:numPr>
          <w:ilvl w:val="0"/>
          <w:numId w:val="41"/>
        </w:numPr>
      </w:pPr>
      <w:bookmarkStart w:id="52" w:name="_Toc218669641"/>
      <w:r w:rsidRPr="00826C9D">
        <w:t>Inne urządzenia bezpieczeństwa ruchu (BRD)</w:t>
      </w:r>
      <w:bookmarkEnd w:id="52"/>
    </w:p>
    <w:p w14:paraId="49014570" w14:textId="77777777" w:rsidR="003006F5" w:rsidRPr="00826C9D" w:rsidRDefault="003006F5" w:rsidP="003006F5">
      <w:pPr>
        <w:spacing w:before="120" w:after="120"/>
        <w:ind w:left="720"/>
        <w:jc w:val="both"/>
        <w:rPr>
          <w:rFonts w:ascii="Arial" w:hAnsi="Arial"/>
          <w:b/>
        </w:rPr>
      </w:pPr>
      <w:r w:rsidRPr="00826C9D">
        <w:rPr>
          <w:rFonts w:ascii="Arial" w:hAnsi="Arial"/>
        </w:rPr>
        <w:t>Okres Gwarancji Jakości dla:</w:t>
      </w:r>
    </w:p>
    <w:p w14:paraId="50D1C582" w14:textId="77777777" w:rsidR="003006F5" w:rsidRPr="00826C9D" w:rsidRDefault="003006F5" w:rsidP="00C0119D">
      <w:pPr>
        <w:numPr>
          <w:ilvl w:val="0"/>
          <w:numId w:val="18"/>
        </w:numPr>
        <w:spacing w:before="120" w:after="120"/>
        <w:jc w:val="both"/>
        <w:rPr>
          <w:rFonts w:ascii="Arial" w:hAnsi="Arial"/>
        </w:rPr>
      </w:pPr>
      <w:r w:rsidRPr="00826C9D">
        <w:rPr>
          <w:rFonts w:ascii="Arial" w:hAnsi="Arial"/>
        </w:rPr>
        <w:t xml:space="preserve">słupki U-1 wraz z U-8 – </w:t>
      </w:r>
      <w:r w:rsidRPr="00826C9D">
        <w:rPr>
          <w:rFonts w:ascii="Arial" w:hAnsi="Arial"/>
          <w:b/>
        </w:rPr>
        <w:t>18 miesięcy</w:t>
      </w:r>
    </w:p>
    <w:p w14:paraId="1A92F4AE" w14:textId="77777777" w:rsidR="003006F5" w:rsidRPr="00826C9D" w:rsidRDefault="003006F5" w:rsidP="00C0119D">
      <w:pPr>
        <w:numPr>
          <w:ilvl w:val="0"/>
          <w:numId w:val="18"/>
        </w:numPr>
        <w:spacing w:before="120" w:after="120"/>
        <w:jc w:val="both"/>
        <w:rPr>
          <w:rFonts w:ascii="Arial" w:hAnsi="Arial"/>
        </w:rPr>
      </w:pPr>
      <w:r w:rsidRPr="00826C9D">
        <w:rPr>
          <w:rFonts w:ascii="Arial" w:hAnsi="Arial"/>
        </w:rPr>
        <w:t xml:space="preserve">drogowe bariery ochronne – </w:t>
      </w:r>
      <w:r w:rsidRPr="00826C9D">
        <w:rPr>
          <w:rFonts w:ascii="Arial" w:hAnsi="Arial"/>
          <w:b/>
        </w:rPr>
        <w:t>60 miesięcy</w:t>
      </w:r>
    </w:p>
    <w:p w14:paraId="12C172A2" w14:textId="77777777" w:rsidR="003006F5" w:rsidRPr="00826C9D" w:rsidRDefault="003006F5" w:rsidP="00C0119D">
      <w:pPr>
        <w:numPr>
          <w:ilvl w:val="0"/>
          <w:numId w:val="18"/>
        </w:numPr>
        <w:spacing w:before="120" w:after="120"/>
        <w:jc w:val="both"/>
        <w:rPr>
          <w:rFonts w:ascii="Arial" w:hAnsi="Arial"/>
        </w:rPr>
      </w:pPr>
      <w:r w:rsidRPr="00826C9D">
        <w:rPr>
          <w:rFonts w:ascii="Arial" w:hAnsi="Arial"/>
        </w:rPr>
        <w:t xml:space="preserve">urządzenia zabezpieczające ruch pieszych i rowerzystów – </w:t>
      </w:r>
      <w:r w:rsidRPr="00826C9D">
        <w:rPr>
          <w:rFonts w:ascii="Arial" w:hAnsi="Arial"/>
          <w:b/>
        </w:rPr>
        <w:t>60 miesięcy</w:t>
      </w:r>
    </w:p>
    <w:p w14:paraId="225765E7" w14:textId="77777777" w:rsidR="003006F5" w:rsidRPr="00826C9D" w:rsidRDefault="003006F5" w:rsidP="004E5BA8">
      <w:pPr>
        <w:pStyle w:val="Nagwek3"/>
        <w:numPr>
          <w:ilvl w:val="0"/>
          <w:numId w:val="41"/>
        </w:numPr>
      </w:pPr>
      <w:bookmarkStart w:id="53" w:name="_Toc218669642"/>
      <w:r w:rsidRPr="00826C9D">
        <w:t>Kontrola elementów oznakowania poziomego i pionowego</w:t>
      </w:r>
      <w:bookmarkEnd w:id="53"/>
    </w:p>
    <w:p w14:paraId="0DED197A"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Kontrola elementów oznakowania poziomego i pionowego odbywać się będzie w oparciu o zapisy Rozporządzeniu Ministra Infrastruktury z dnia 3 lipca 2003 r. w sprawie szczegółowych warunków technicznych dla znaków i sygnałów drogowych oraz urządzeń bezpieczeństwa ruchu drogowego i warunków ich umieszczania na drogach (Dz. U. </w:t>
      </w:r>
      <w:r w:rsidR="008B53FF" w:rsidRPr="00826C9D">
        <w:rPr>
          <w:rFonts w:ascii="Arial" w:hAnsi="Arial"/>
        </w:rPr>
        <w:t>2019.2311.t</w:t>
      </w:r>
      <w:r w:rsidRPr="00826C9D">
        <w:rPr>
          <w:rFonts w:ascii="Arial" w:hAnsi="Arial"/>
        </w:rPr>
        <w:t>.</w:t>
      </w:r>
      <w:r w:rsidR="008B53FF" w:rsidRPr="00826C9D">
        <w:rPr>
          <w:rFonts w:ascii="Arial" w:hAnsi="Arial"/>
        </w:rPr>
        <w:t>j</w:t>
      </w:r>
      <w:r w:rsidRPr="00826C9D">
        <w:rPr>
          <w:rFonts w:ascii="Arial" w:hAnsi="Arial"/>
        </w:rPr>
        <w:t>).</w:t>
      </w:r>
    </w:p>
    <w:p w14:paraId="5BF70688"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Wszystkie elementy oznakowania poziomego i pionowego powinny zachować trwałość   i utrzymanie wymaganych parametrów (takich, jak widoczność, odblaskowość) zgodnie z dokumentem odniesienia wymienionym w powyższym punkcie 3.3.1 w całym okresie przewidzianym gwarancją.</w:t>
      </w:r>
    </w:p>
    <w:p w14:paraId="2EC26580" w14:textId="77777777" w:rsidR="003006F5" w:rsidRPr="00826C9D" w:rsidRDefault="003006F5" w:rsidP="00C0119D">
      <w:pPr>
        <w:pStyle w:val="Nagwek2"/>
        <w:numPr>
          <w:ilvl w:val="0"/>
          <w:numId w:val="26"/>
        </w:numPr>
        <w:ind w:left="284" w:hanging="284"/>
        <w:rPr>
          <w:rFonts w:cs="Arial"/>
          <w:szCs w:val="20"/>
        </w:rPr>
      </w:pPr>
      <w:r w:rsidRPr="00826C9D">
        <w:rPr>
          <w:rFonts w:cs="Arial"/>
          <w:szCs w:val="20"/>
        </w:rPr>
        <w:br w:type="page"/>
      </w:r>
      <w:bookmarkStart w:id="54" w:name="_Toc198211974"/>
      <w:bookmarkStart w:id="55" w:name="_Toc218669643"/>
      <w:r w:rsidRPr="00826C9D">
        <w:rPr>
          <w:rFonts w:cs="Arial"/>
          <w:szCs w:val="20"/>
        </w:rPr>
        <w:lastRenderedPageBreak/>
        <w:t>ZIELEŃ</w:t>
      </w:r>
      <w:bookmarkEnd w:id="54"/>
      <w:bookmarkEnd w:id="55"/>
    </w:p>
    <w:p w14:paraId="72BCAE06" w14:textId="77777777" w:rsidR="003006F5" w:rsidRPr="00826C9D" w:rsidRDefault="003006F5" w:rsidP="00C0119D">
      <w:pPr>
        <w:numPr>
          <w:ilvl w:val="1"/>
          <w:numId w:val="26"/>
        </w:numPr>
        <w:spacing w:before="120" w:after="120"/>
        <w:ind w:left="709" w:hanging="709"/>
        <w:jc w:val="both"/>
        <w:rPr>
          <w:rFonts w:ascii="Arial" w:hAnsi="Arial"/>
          <w:b/>
        </w:rPr>
      </w:pPr>
      <w:r w:rsidRPr="00826C9D">
        <w:rPr>
          <w:rFonts w:ascii="Arial" w:hAnsi="Arial"/>
          <w:b/>
        </w:rPr>
        <w:t>Zieleń</w:t>
      </w:r>
    </w:p>
    <w:p w14:paraId="4B6D03CE" w14:textId="77777777" w:rsidR="003006F5" w:rsidRPr="00826C9D" w:rsidRDefault="003006F5" w:rsidP="003006F5">
      <w:pPr>
        <w:spacing w:before="120" w:after="120"/>
        <w:jc w:val="both"/>
        <w:rPr>
          <w:rFonts w:ascii="Arial" w:hAnsi="Arial"/>
        </w:rPr>
      </w:pPr>
      <w:r w:rsidRPr="00826C9D">
        <w:rPr>
          <w:rFonts w:ascii="Arial" w:hAnsi="Arial"/>
        </w:rPr>
        <w:t xml:space="preserve">Gwarancja na zieleń wynosi </w:t>
      </w:r>
      <w:r w:rsidRPr="00826C9D">
        <w:rPr>
          <w:rFonts w:ascii="Arial" w:hAnsi="Arial"/>
          <w:b/>
        </w:rPr>
        <w:t>3 pełne sezony wegetacyjne</w:t>
      </w:r>
      <w:r w:rsidRPr="00826C9D">
        <w:rPr>
          <w:rFonts w:ascii="Arial" w:hAnsi="Arial"/>
        </w:rPr>
        <w:t xml:space="preserve"> (jako sezon wegetacyjny należy rozumieć okres od początku kwietnia do końca października; początek pierwszego sezonu jest zawsze liczony od 01.04</w:t>
      </w:r>
      <w:r w:rsidR="00225FC6" w:rsidRPr="00826C9D">
        <w:rPr>
          <w:rFonts w:ascii="Arial" w:hAnsi="Arial"/>
        </w:rPr>
        <w:t>.</w:t>
      </w:r>
      <w:r w:rsidRPr="00826C9D">
        <w:rPr>
          <w:rFonts w:ascii="Arial" w:hAnsi="Arial"/>
        </w:rPr>
        <w:t xml:space="preserve"> danego roku).</w:t>
      </w:r>
    </w:p>
    <w:p w14:paraId="3037D7C5"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Wykonawca w okresie gwarancji jest zobowiązany do prowadzenia zabiegów konserwacyjnych zgodnie z wymogami określonymi „Warunkami Wykonania i Odbioru Robot Budowlanych” na wszystkich elementach zieleni przydrożnej wykonanej i/lub nasadzonej w ramach zrealizowanego zadania.</w:t>
      </w:r>
    </w:p>
    <w:p w14:paraId="695D638D" w14:textId="77777777" w:rsidR="003006F5" w:rsidRPr="00826C9D" w:rsidRDefault="003006F5" w:rsidP="003006F5">
      <w:pPr>
        <w:spacing w:before="120" w:after="120"/>
        <w:ind w:left="709"/>
        <w:jc w:val="both"/>
        <w:rPr>
          <w:rFonts w:ascii="Arial" w:hAnsi="Arial"/>
        </w:rPr>
      </w:pPr>
      <w:r w:rsidRPr="00826C9D">
        <w:rPr>
          <w:rFonts w:ascii="Arial" w:hAnsi="Arial"/>
        </w:rPr>
        <w:t xml:space="preserve">Zieleń w pasie drogowym, należy pielęgnować i utrzymywać w taki sposób, aby nie powodować ograniczenia przepływu wody, obsypywania się skarp i rozsiewania się chwastów. Jej wysokość nie może ograniczać widoczności urządzeń umieszczonych w pasie drogowym. Nie może także rozrastać się w skrajnię drogi a roślinność niska (w tym trawa) nie może być wyższa niż </w:t>
      </w:r>
      <w:smartTag w:uri="urn:schemas-microsoft-com:office:smarttags" w:element="metricconverter">
        <w:smartTagPr>
          <w:attr w:name="ProductID" w:val="20ﾠcm"/>
        </w:smartTagPr>
        <w:r w:rsidRPr="00826C9D">
          <w:rPr>
            <w:rFonts w:ascii="Arial" w:hAnsi="Arial"/>
          </w:rPr>
          <w:t>20 cm</w:t>
        </w:r>
      </w:smartTag>
      <w:r w:rsidRPr="00826C9D">
        <w:rPr>
          <w:rFonts w:ascii="Arial" w:hAnsi="Arial"/>
        </w:rPr>
        <w:t xml:space="preserve"> </w:t>
      </w:r>
      <w:r w:rsidRPr="00826C9D">
        <w:rPr>
          <w:rFonts w:ascii="Arial" w:hAnsi="Arial"/>
          <w:bCs/>
        </w:rPr>
        <w:t>(za wyjątkiem górnych przejść dla zwierząt).</w:t>
      </w:r>
      <w:r w:rsidRPr="00826C9D">
        <w:rPr>
          <w:rFonts w:ascii="Arial" w:hAnsi="Arial"/>
        </w:rPr>
        <w:t xml:space="preserve"> Zasady te obowiązują przez cały okres trwania gwarancji.  </w:t>
      </w:r>
    </w:p>
    <w:p w14:paraId="3EC100E6" w14:textId="6F820930"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W okresie Gwarancji Jakości Wykonawca gwarantuje, że zieleń właściwie ukształtuje się </w:t>
      </w:r>
      <w:r w:rsidR="002A439E" w:rsidRPr="00826C9D">
        <w:rPr>
          <w:rFonts w:ascii="Arial" w:hAnsi="Arial"/>
        </w:rPr>
        <w:br/>
      </w:r>
      <w:r w:rsidRPr="00826C9D">
        <w:rPr>
          <w:rFonts w:ascii="Arial" w:hAnsi="Arial"/>
        </w:rPr>
        <w:t xml:space="preserve">i ukorzeni oraz zapewni właściwą wegetację (kondycję). W tym celu Wykonawca, </w:t>
      </w:r>
      <w:r w:rsidR="00773B1F" w:rsidRPr="00826C9D">
        <w:rPr>
          <w:rFonts w:ascii="Arial" w:hAnsi="Arial"/>
        </w:rPr>
        <w:br/>
      </w:r>
      <w:r w:rsidRPr="00826C9D">
        <w:rPr>
          <w:rFonts w:ascii="Arial" w:hAnsi="Arial"/>
        </w:rPr>
        <w:t>w okresie gwarancji, będzie prowadził odpowiednie zabiegi pielęgnacyjne.</w:t>
      </w:r>
    </w:p>
    <w:p w14:paraId="0D4C47E2"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W okresie gwarancji Wykonawca przy udziale Zamawiającego corocznie dokonuje przeglądu zieleni, z którego sporządza się protokół. Przegląd wykonuje się w okresie sezonu wegetacyjnego, przy pełnym ulistnieniu i w fazie wzrostu roślin pozwalającym ocenić stopień udatności zasiewu/nasadzeń. Poprawki i uzupełnienia Wykonawca wykonuje w tym samym okresie </w:t>
      </w:r>
      <w:proofErr w:type="spellStart"/>
      <w:r w:rsidRPr="00826C9D">
        <w:rPr>
          <w:rFonts w:ascii="Arial" w:hAnsi="Arial"/>
        </w:rPr>
        <w:t>wegatacyjnym</w:t>
      </w:r>
      <w:proofErr w:type="spellEnd"/>
      <w:r w:rsidRPr="00826C9D">
        <w:rPr>
          <w:rFonts w:ascii="Arial" w:hAnsi="Arial"/>
        </w:rPr>
        <w:t>.</w:t>
      </w:r>
    </w:p>
    <w:p w14:paraId="426E51CA"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Jeśli w trakcie pierwszego przeglądu stwierdzone zostanie, że udatność wykonanych nasadzeń jest poniżej 30% przyjmuje się, iż całą zieleń należy nasadzić powtórnie, </w:t>
      </w:r>
      <w:r w:rsidR="00773B1F" w:rsidRPr="00826C9D">
        <w:rPr>
          <w:rFonts w:ascii="Arial" w:hAnsi="Arial"/>
        </w:rPr>
        <w:br/>
      </w:r>
      <w:r w:rsidRPr="00826C9D">
        <w:rPr>
          <w:rFonts w:ascii="Arial" w:hAnsi="Arial"/>
        </w:rPr>
        <w:t>a okres gwarancji wydłużyć o 1 pełny sezon wegetacyjny.</w:t>
      </w:r>
    </w:p>
    <w:p w14:paraId="1D447E10"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Kontrola jakości humusowania i obsiania skarp, rowów i terenów płaskich. </w:t>
      </w:r>
      <w:r w:rsidRPr="00826C9D">
        <w:rPr>
          <w:rFonts w:ascii="Arial" w:hAnsi="Arial"/>
        </w:rPr>
        <w:br/>
        <w:t xml:space="preserve">Po okresie gwarancji łączna powierzchnia nieporośniętych miejsc nie powinna być większa niż 2% wszystkich obsianych powierzchni, a maksymalny wymiar pojedynczych nie </w:t>
      </w:r>
      <w:proofErr w:type="spellStart"/>
      <w:r w:rsidRPr="00826C9D">
        <w:rPr>
          <w:rFonts w:ascii="Arial" w:hAnsi="Arial"/>
        </w:rPr>
        <w:t>zatrawionych</w:t>
      </w:r>
      <w:proofErr w:type="spellEnd"/>
      <w:r w:rsidRPr="00826C9D">
        <w:rPr>
          <w:rFonts w:ascii="Arial" w:hAnsi="Arial"/>
        </w:rPr>
        <w:t xml:space="preserve"> miejsc nie powinien przekraczać </w:t>
      </w:r>
      <w:smartTag w:uri="urn:schemas-microsoft-com:office:smarttags" w:element="metricconverter">
        <w:smartTagPr>
          <w:attr w:name="ProductID" w:val="0,2 m2"/>
        </w:smartTagPr>
        <w:r w:rsidRPr="00826C9D">
          <w:rPr>
            <w:rFonts w:ascii="Arial" w:hAnsi="Arial"/>
          </w:rPr>
          <w:t>0,2 m</w:t>
        </w:r>
        <w:r w:rsidRPr="00826C9D">
          <w:rPr>
            <w:rFonts w:ascii="Arial" w:hAnsi="Arial"/>
            <w:vertAlign w:val="superscript"/>
          </w:rPr>
          <w:t>2</w:t>
        </w:r>
      </w:smartTag>
      <w:r w:rsidRPr="00826C9D">
        <w:rPr>
          <w:rFonts w:ascii="Arial" w:hAnsi="Arial"/>
        </w:rPr>
        <w:t>. Nie dopuszcza się na zarośniętej powierzchni występowania jakichkolwiek wyżłobień erozyjnych ani lokalnych zsuwów.</w:t>
      </w:r>
    </w:p>
    <w:p w14:paraId="67A4F0D2"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Kontrola jakości nasadzonych drzew, krzewów i pnączy</w:t>
      </w:r>
    </w:p>
    <w:p w14:paraId="3DB78D4B" w14:textId="77777777" w:rsidR="003006F5" w:rsidRPr="00826C9D" w:rsidRDefault="003006F5" w:rsidP="00C0119D">
      <w:pPr>
        <w:numPr>
          <w:ilvl w:val="0"/>
          <w:numId w:val="34"/>
        </w:numPr>
        <w:spacing w:before="120" w:after="120"/>
        <w:jc w:val="both"/>
        <w:rPr>
          <w:rFonts w:ascii="Arial" w:hAnsi="Arial"/>
        </w:rPr>
      </w:pPr>
      <w:r w:rsidRPr="00826C9D">
        <w:rPr>
          <w:rFonts w:ascii="Arial" w:hAnsi="Arial"/>
        </w:rPr>
        <w:t>Po okresie gwarancji udatność nasadzeń nie będzie niższa niż:</w:t>
      </w:r>
    </w:p>
    <w:p w14:paraId="45B44A64" w14:textId="77777777" w:rsidR="003006F5" w:rsidRPr="00826C9D" w:rsidRDefault="003006F5" w:rsidP="00C0119D">
      <w:pPr>
        <w:numPr>
          <w:ilvl w:val="0"/>
          <w:numId w:val="19"/>
        </w:numPr>
        <w:spacing w:before="120" w:after="120"/>
        <w:ind w:left="993" w:hanging="284"/>
        <w:jc w:val="both"/>
        <w:rPr>
          <w:rFonts w:ascii="Arial" w:hAnsi="Arial"/>
        </w:rPr>
      </w:pPr>
      <w:r w:rsidRPr="00826C9D">
        <w:rPr>
          <w:rFonts w:ascii="Arial" w:hAnsi="Arial"/>
        </w:rPr>
        <w:t>95% dla krzewów</w:t>
      </w:r>
    </w:p>
    <w:p w14:paraId="3096B77E" w14:textId="77777777" w:rsidR="003006F5" w:rsidRPr="00826C9D" w:rsidRDefault="003006F5" w:rsidP="00C0119D">
      <w:pPr>
        <w:numPr>
          <w:ilvl w:val="0"/>
          <w:numId w:val="19"/>
        </w:numPr>
        <w:spacing w:before="120" w:after="120"/>
        <w:ind w:left="993" w:hanging="284"/>
        <w:jc w:val="both"/>
        <w:rPr>
          <w:rFonts w:ascii="Arial" w:hAnsi="Arial"/>
        </w:rPr>
      </w:pPr>
      <w:r w:rsidRPr="00826C9D">
        <w:rPr>
          <w:rFonts w:ascii="Arial" w:hAnsi="Arial"/>
        </w:rPr>
        <w:t>95% dla drzew szkółkarskich (szkółki leśne)</w:t>
      </w:r>
    </w:p>
    <w:p w14:paraId="210A3C76" w14:textId="77777777" w:rsidR="003006F5" w:rsidRPr="00826C9D" w:rsidRDefault="003006F5" w:rsidP="00C0119D">
      <w:pPr>
        <w:numPr>
          <w:ilvl w:val="0"/>
          <w:numId w:val="19"/>
        </w:numPr>
        <w:spacing w:before="120" w:after="120"/>
        <w:ind w:left="993" w:hanging="284"/>
        <w:jc w:val="both"/>
        <w:rPr>
          <w:rFonts w:ascii="Arial" w:hAnsi="Arial"/>
        </w:rPr>
      </w:pPr>
      <w:r w:rsidRPr="00826C9D">
        <w:rPr>
          <w:rFonts w:ascii="Arial" w:hAnsi="Arial"/>
        </w:rPr>
        <w:t xml:space="preserve">98% dla drzew </w:t>
      </w:r>
      <w:proofErr w:type="spellStart"/>
      <w:r w:rsidRPr="00826C9D">
        <w:rPr>
          <w:rFonts w:ascii="Arial" w:hAnsi="Arial"/>
        </w:rPr>
        <w:t>soliterowych</w:t>
      </w:r>
      <w:proofErr w:type="spellEnd"/>
      <w:r w:rsidRPr="00826C9D">
        <w:rPr>
          <w:rFonts w:ascii="Arial" w:hAnsi="Arial"/>
        </w:rPr>
        <w:t xml:space="preserve">  </w:t>
      </w:r>
    </w:p>
    <w:p w14:paraId="20BE2C9F" w14:textId="77777777" w:rsidR="003006F5" w:rsidRPr="00826C9D" w:rsidRDefault="003006F5" w:rsidP="00C0119D">
      <w:pPr>
        <w:numPr>
          <w:ilvl w:val="0"/>
          <w:numId w:val="34"/>
        </w:numPr>
        <w:spacing w:before="120" w:after="120"/>
        <w:jc w:val="both"/>
        <w:rPr>
          <w:rFonts w:ascii="Arial" w:hAnsi="Arial"/>
        </w:rPr>
      </w:pPr>
      <w:r w:rsidRPr="00826C9D">
        <w:rPr>
          <w:rFonts w:ascii="Arial" w:hAnsi="Arial"/>
        </w:rPr>
        <w:t>Dopuszczalny stopień wypadów (zieleni wysokiej i niskiej, która się nie przyjęła):</w:t>
      </w:r>
    </w:p>
    <w:p w14:paraId="3AC29A9E" w14:textId="77777777" w:rsidR="003006F5" w:rsidRPr="00826C9D" w:rsidRDefault="003006F5" w:rsidP="00C0119D">
      <w:pPr>
        <w:numPr>
          <w:ilvl w:val="0"/>
          <w:numId w:val="20"/>
        </w:numPr>
        <w:spacing w:before="120" w:after="120"/>
        <w:ind w:left="993" w:hanging="284"/>
        <w:jc w:val="both"/>
        <w:rPr>
          <w:rFonts w:ascii="Arial" w:hAnsi="Arial"/>
        </w:rPr>
      </w:pPr>
      <w:r w:rsidRPr="00826C9D">
        <w:rPr>
          <w:rFonts w:ascii="Arial" w:hAnsi="Arial"/>
        </w:rPr>
        <w:t>5% dla krzewów</w:t>
      </w:r>
    </w:p>
    <w:p w14:paraId="56B2647B" w14:textId="77777777" w:rsidR="003006F5" w:rsidRPr="00826C9D" w:rsidRDefault="003006F5" w:rsidP="00C0119D">
      <w:pPr>
        <w:numPr>
          <w:ilvl w:val="0"/>
          <w:numId w:val="20"/>
        </w:numPr>
        <w:spacing w:before="120" w:after="120"/>
        <w:ind w:left="993" w:hanging="284"/>
        <w:jc w:val="both"/>
        <w:rPr>
          <w:rFonts w:ascii="Arial" w:hAnsi="Arial"/>
        </w:rPr>
      </w:pPr>
      <w:r w:rsidRPr="00826C9D">
        <w:rPr>
          <w:rFonts w:ascii="Arial" w:hAnsi="Arial"/>
        </w:rPr>
        <w:t>5% dla drzew szkółkarskich (szkółki leśne)</w:t>
      </w:r>
    </w:p>
    <w:p w14:paraId="14C5AEA9" w14:textId="77777777" w:rsidR="003006F5" w:rsidRPr="00826C9D" w:rsidRDefault="003006F5" w:rsidP="00C0119D">
      <w:pPr>
        <w:numPr>
          <w:ilvl w:val="0"/>
          <w:numId w:val="20"/>
        </w:numPr>
        <w:spacing w:before="120" w:after="120"/>
        <w:ind w:left="993" w:hanging="284"/>
        <w:jc w:val="both"/>
        <w:rPr>
          <w:rFonts w:ascii="Arial" w:hAnsi="Arial"/>
        </w:rPr>
      </w:pPr>
      <w:r w:rsidRPr="00826C9D">
        <w:rPr>
          <w:rFonts w:ascii="Arial" w:hAnsi="Arial"/>
        </w:rPr>
        <w:t xml:space="preserve">2% dla drzew </w:t>
      </w:r>
      <w:proofErr w:type="spellStart"/>
      <w:r w:rsidRPr="00826C9D">
        <w:rPr>
          <w:rFonts w:ascii="Arial" w:hAnsi="Arial"/>
        </w:rPr>
        <w:t>soliterowych</w:t>
      </w:r>
      <w:proofErr w:type="spellEnd"/>
    </w:p>
    <w:p w14:paraId="7ECA330D"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color w:val="000000"/>
        </w:rPr>
        <w:lastRenderedPageBreak/>
        <w:t>W przypadku</w:t>
      </w:r>
      <w:r w:rsidRPr="00826C9D">
        <w:rPr>
          <w:rFonts w:ascii="Arial" w:hAnsi="Arial"/>
          <w:color w:val="FF0000"/>
        </w:rPr>
        <w:t xml:space="preserve"> </w:t>
      </w:r>
      <w:r w:rsidRPr="00826C9D">
        <w:rPr>
          <w:rFonts w:ascii="Arial" w:hAnsi="Arial"/>
          <w:color w:val="000000"/>
        </w:rPr>
        <w:t>nieosiągnięcia zakładanej udatności nasadzeń, o której mowa w pkt. 4.1.6, Wykonawca jest zobowiązany do wprowadzenia niezbędnych poprawek i uzupełnień w na sadzeniach w tym okresie wegetacyjnym, przy czym jeśli w trakcie przeprowadzonego przeglądu stwierdzone zostanie, że udatność wykonanych nasadzeń jest poniżej 30% całą zieleń należy nasadzić powtórnie, a okres gwarancji wydłużyć o 3 pełne sezony wegetacyjne.</w:t>
      </w:r>
    </w:p>
    <w:p w14:paraId="2E1579A0" w14:textId="2B7CC26B" w:rsidR="003006F5" w:rsidRPr="00826C9D" w:rsidRDefault="003006F5" w:rsidP="00C0119D">
      <w:pPr>
        <w:pStyle w:val="Nagwek2"/>
        <w:numPr>
          <w:ilvl w:val="0"/>
          <w:numId w:val="26"/>
        </w:numPr>
        <w:rPr>
          <w:rFonts w:cs="Arial"/>
          <w:szCs w:val="20"/>
        </w:rPr>
      </w:pPr>
      <w:r w:rsidRPr="00826C9D">
        <w:rPr>
          <w:rFonts w:cs="Arial"/>
          <w:color w:val="FF0000"/>
          <w:szCs w:val="20"/>
        </w:rPr>
        <w:br w:type="page"/>
      </w:r>
      <w:bookmarkStart w:id="56" w:name="_Toc198211975"/>
      <w:bookmarkStart w:id="57" w:name="_Toc218669644"/>
      <w:r w:rsidRPr="00826C9D">
        <w:rPr>
          <w:rFonts w:cs="Arial"/>
          <w:szCs w:val="20"/>
        </w:rPr>
        <w:lastRenderedPageBreak/>
        <w:t>PREFABRYKATY BETONOWE</w:t>
      </w:r>
      <w:bookmarkEnd w:id="56"/>
      <w:bookmarkEnd w:id="57"/>
    </w:p>
    <w:p w14:paraId="08E7CB5E" w14:textId="2655F54D" w:rsidR="003006F5" w:rsidRPr="00826C9D" w:rsidRDefault="003A169F" w:rsidP="003006F5">
      <w:pPr>
        <w:spacing w:before="120" w:after="120"/>
        <w:jc w:val="both"/>
        <w:rPr>
          <w:rFonts w:ascii="Arial" w:hAnsi="Arial"/>
        </w:rPr>
      </w:pPr>
      <w:r w:rsidRPr="00826C9D">
        <w:rPr>
          <w:rFonts w:ascii="Arial" w:hAnsi="Arial"/>
        </w:rPr>
        <w:t>[</w:t>
      </w:r>
      <w:r w:rsidRPr="00650008">
        <w:rPr>
          <w:rFonts w:ascii="Arial" w:hAnsi="Arial"/>
          <w:b/>
          <w:i/>
        </w:rPr>
        <w:t>minimum</w:t>
      </w:r>
      <w:r w:rsidRPr="00650008">
        <w:rPr>
          <w:rFonts w:ascii="Arial" w:hAnsi="Arial"/>
          <w:i/>
        </w:rPr>
        <w:t xml:space="preserve"> </w:t>
      </w:r>
      <w:r>
        <w:rPr>
          <w:rFonts w:ascii="Arial" w:hAnsi="Arial"/>
          <w:b/>
          <w:i/>
        </w:rPr>
        <w:t>60</w:t>
      </w:r>
      <w:r w:rsidRPr="00826C9D">
        <w:rPr>
          <w:rFonts w:ascii="Arial" w:hAnsi="Arial"/>
        </w:rPr>
        <w:t xml:space="preserve">] </w:t>
      </w:r>
      <w:r w:rsidRPr="00826C9D">
        <w:rPr>
          <w:rFonts w:ascii="Arial" w:hAnsi="Arial"/>
          <w:b/>
        </w:rPr>
        <w:t>miesięcy</w:t>
      </w:r>
      <w:r w:rsidRPr="00826C9D">
        <w:rPr>
          <w:rFonts w:ascii="Arial" w:hAnsi="Arial"/>
        </w:rPr>
        <w:t xml:space="preserve"> gwarancji zgodnie z Ofertą Wykonawcy</w:t>
      </w:r>
      <w:r w:rsidR="003006F5" w:rsidRPr="00826C9D">
        <w:rPr>
          <w:rFonts w:ascii="Arial" w:hAnsi="Arial"/>
        </w:rPr>
        <w:t>.</w:t>
      </w:r>
    </w:p>
    <w:p w14:paraId="3F717944" w14:textId="77777777" w:rsidR="003006F5" w:rsidRPr="00826C9D" w:rsidRDefault="003006F5" w:rsidP="00C0119D">
      <w:pPr>
        <w:numPr>
          <w:ilvl w:val="1"/>
          <w:numId w:val="26"/>
        </w:numPr>
        <w:spacing w:before="120" w:after="120"/>
        <w:jc w:val="both"/>
        <w:rPr>
          <w:rFonts w:ascii="Arial" w:hAnsi="Arial"/>
        </w:rPr>
      </w:pPr>
      <w:r w:rsidRPr="00826C9D">
        <w:rPr>
          <w:rFonts w:ascii="Arial" w:hAnsi="Arial"/>
        </w:rPr>
        <w:t>Wskaźniki:</w:t>
      </w:r>
    </w:p>
    <w:p w14:paraId="7F45EE4E" w14:textId="77777777" w:rsidR="003006F5" w:rsidRPr="00826C9D" w:rsidRDefault="003006F5" w:rsidP="003006F5">
      <w:pPr>
        <w:spacing w:before="120" w:after="120"/>
        <w:ind w:left="709"/>
        <w:jc w:val="both"/>
        <w:rPr>
          <w:rFonts w:ascii="Arial" w:hAnsi="Arial"/>
        </w:rPr>
      </w:pPr>
      <w:r w:rsidRPr="00826C9D">
        <w:rPr>
          <w:rFonts w:ascii="Arial" w:hAnsi="Arial"/>
        </w:rPr>
        <w:t>W trakcie trwania okresu gwarancyjnego sprawdzeniu podlegać będą uszkodzenia powierzchni.</w:t>
      </w:r>
    </w:p>
    <w:p w14:paraId="38D426EA" w14:textId="77777777" w:rsidR="003006F5" w:rsidRPr="00826C9D" w:rsidRDefault="003006F5" w:rsidP="00C0119D">
      <w:pPr>
        <w:numPr>
          <w:ilvl w:val="1"/>
          <w:numId w:val="26"/>
        </w:numPr>
        <w:spacing w:before="120" w:after="120"/>
        <w:jc w:val="both"/>
        <w:rPr>
          <w:rFonts w:ascii="Arial" w:hAnsi="Arial"/>
        </w:rPr>
      </w:pPr>
      <w:r w:rsidRPr="00826C9D">
        <w:rPr>
          <w:rFonts w:ascii="Arial" w:hAnsi="Arial"/>
        </w:rPr>
        <w:t>Dopuszczalny stopień zużycia</w:t>
      </w:r>
    </w:p>
    <w:p w14:paraId="3DE5AD29" w14:textId="77777777" w:rsidR="003006F5" w:rsidRPr="00826C9D" w:rsidRDefault="003006F5" w:rsidP="00C0119D">
      <w:pPr>
        <w:numPr>
          <w:ilvl w:val="0"/>
          <w:numId w:val="35"/>
        </w:numPr>
        <w:spacing w:before="120" w:after="120"/>
        <w:jc w:val="both"/>
        <w:rPr>
          <w:rFonts w:ascii="Arial" w:hAnsi="Arial"/>
        </w:rPr>
      </w:pPr>
      <w:r w:rsidRPr="00826C9D">
        <w:rPr>
          <w:rFonts w:ascii="Arial" w:hAnsi="Arial"/>
        </w:rPr>
        <w:t>Prefabrykaty powierzchniowe (kostki brukowe, płyty chodnikowe)</w:t>
      </w:r>
    </w:p>
    <w:p w14:paraId="2F30C2AE" w14:textId="77777777" w:rsidR="003006F5" w:rsidRPr="00826C9D" w:rsidRDefault="003006F5" w:rsidP="003006F5">
      <w:pPr>
        <w:spacing w:before="120" w:after="120"/>
        <w:ind w:left="993"/>
        <w:jc w:val="both"/>
        <w:rPr>
          <w:rFonts w:ascii="Arial" w:hAnsi="Arial"/>
        </w:rPr>
      </w:pPr>
      <w:r w:rsidRPr="00826C9D">
        <w:rPr>
          <w:rFonts w:ascii="Arial" w:hAnsi="Arial"/>
        </w:rPr>
        <w:t xml:space="preserve">Łączna powierzchnia uszkodzeń nie powinna być większa niż 1 % powierzchni podlegającej ocenie, a maksymalna powierzchnia pojedynczego uszkodzenia nie powinna przekraczać </w:t>
      </w:r>
      <w:smartTag w:uri="urn:schemas-microsoft-com:office:smarttags" w:element="metricconverter">
        <w:smartTagPr>
          <w:attr w:name="ProductID" w:val="0,1 m2"/>
        </w:smartTagPr>
        <w:r w:rsidRPr="00826C9D">
          <w:rPr>
            <w:rFonts w:ascii="Arial" w:hAnsi="Arial"/>
          </w:rPr>
          <w:t>0,1 m</w:t>
        </w:r>
        <w:r w:rsidRPr="00826C9D">
          <w:rPr>
            <w:rFonts w:ascii="Arial" w:hAnsi="Arial"/>
            <w:vertAlign w:val="superscript"/>
          </w:rPr>
          <w:t>2</w:t>
        </w:r>
      </w:smartTag>
      <w:r w:rsidRPr="00826C9D">
        <w:rPr>
          <w:rFonts w:ascii="Arial" w:hAnsi="Arial"/>
        </w:rPr>
        <w:t xml:space="preserve">  i nie więcej niż 5% powierzchni pojedynczego elementu. Dopuszczalna forma uszkodzeń to złuszczenia powierzchni narażonej na oddziaływanie ruchu i warunków atmosferycznych. </w:t>
      </w:r>
    </w:p>
    <w:p w14:paraId="7CA95D4E" w14:textId="77777777" w:rsidR="003006F5" w:rsidRPr="00826C9D" w:rsidRDefault="003006F5" w:rsidP="003006F5">
      <w:pPr>
        <w:spacing w:before="120" w:after="120"/>
        <w:ind w:left="567"/>
        <w:jc w:val="both"/>
        <w:rPr>
          <w:rFonts w:ascii="Arial" w:hAnsi="Arial"/>
        </w:rPr>
      </w:pPr>
      <w:r w:rsidRPr="00826C9D">
        <w:rPr>
          <w:rFonts w:ascii="Arial" w:hAnsi="Arial"/>
        </w:rPr>
        <w:t xml:space="preserve">Powierzchnia odcinka podlegająca ocenie nie może przekraczać </w:t>
      </w:r>
      <w:smartTag w:uri="urn:schemas-microsoft-com:office:smarttags" w:element="metricconverter">
        <w:smartTagPr>
          <w:attr w:name="ProductID" w:val="100 m2"/>
        </w:smartTagPr>
        <w:r w:rsidRPr="00826C9D">
          <w:rPr>
            <w:rFonts w:ascii="Arial" w:hAnsi="Arial"/>
          </w:rPr>
          <w:t>100 m2</w:t>
        </w:r>
      </w:smartTag>
      <w:r w:rsidRPr="00826C9D">
        <w:rPr>
          <w:rFonts w:ascii="Arial" w:hAnsi="Arial"/>
        </w:rPr>
        <w:t>.</w:t>
      </w:r>
    </w:p>
    <w:p w14:paraId="086D8036" w14:textId="77777777" w:rsidR="003006F5" w:rsidRPr="00826C9D" w:rsidRDefault="003006F5" w:rsidP="00C0119D">
      <w:pPr>
        <w:numPr>
          <w:ilvl w:val="0"/>
          <w:numId w:val="35"/>
        </w:numPr>
        <w:spacing w:before="120" w:after="120"/>
        <w:jc w:val="both"/>
        <w:rPr>
          <w:rFonts w:ascii="Arial" w:hAnsi="Arial"/>
        </w:rPr>
      </w:pPr>
      <w:r w:rsidRPr="00826C9D">
        <w:rPr>
          <w:rFonts w:ascii="Arial" w:hAnsi="Arial"/>
        </w:rPr>
        <w:t>Prefabrykaty liniowe (krawężniki, obrzeża, ścieki)</w:t>
      </w:r>
    </w:p>
    <w:p w14:paraId="6BDC494B" w14:textId="77777777" w:rsidR="003006F5" w:rsidRPr="00826C9D" w:rsidRDefault="003006F5" w:rsidP="003006F5">
      <w:pPr>
        <w:spacing w:before="120" w:after="120"/>
        <w:ind w:left="993"/>
        <w:jc w:val="both"/>
        <w:rPr>
          <w:rFonts w:ascii="Arial" w:hAnsi="Arial"/>
        </w:rPr>
      </w:pPr>
      <w:r w:rsidRPr="00826C9D">
        <w:rPr>
          <w:rFonts w:ascii="Arial" w:hAnsi="Arial"/>
        </w:rPr>
        <w:t xml:space="preserve">Łączna powierzchnia uszkodzeń nie powinna być większa niż 1 % powierzchni podlegającej ocenie, a maksymalna powierzchnia pojedynczego uszkodzenia nie powinna przekraczać </w:t>
      </w:r>
      <w:smartTag w:uri="urn:schemas-microsoft-com:office:smarttags" w:element="metricconverter">
        <w:smartTagPr>
          <w:attr w:name="ProductID" w:val="0,1 m2"/>
        </w:smartTagPr>
        <w:r w:rsidRPr="00826C9D">
          <w:rPr>
            <w:rFonts w:ascii="Arial" w:hAnsi="Arial"/>
          </w:rPr>
          <w:t>0,1 m</w:t>
        </w:r>
        <w:r w:rsidRPr="00826C9D">
          <w:rPr>
            <w:rFonts w:ascii="Arial" w:hAnsi="Arial"/>
            <w:vertAlign w:val="superscript"/>
          </w:rPr>
          <w:t>2</w:t>
        </w:r>
      </w:smartTag>
      <w:r w:rsidRPr="00826C9D">
        <w:rPr>
          <w:rFonts w:ascii="Arial" w:hAnsi="Arial"/>
        </w:rPr>
        <w:t xml:space="preserve"> i nie więcej niż 5% powierzchni pojedynczego elementu. Dopuszczalna forma uszkodzeń to złuszczenia powierzchni narażonej na oddziaływanie warunków atmosferycznych.</w:t>
      </w:r>
    </w:p>
    <w:p w14:paraId="7CF4AC7E" w14:textId="77777777" w:rsidR="003006F5" w:rsidRPr="00826C9D" w:rsidRDefault="003006F5" w:rsidP="003006F5">
      <w:pPr>
        <w:spacing w:before="120" w:after="120"/>
        <w:ind w:left="993"/>
        <w:jc w:val="both"/>
        <w:rPr>
          <w:rFonts w:ascii="Arial" w:hAnsi="Arial"/>
        </w:rPr>
      </w:pPr>
      <w:r w:rsidRPr="00826C9D">
        <w:rPr>
          <w:rFonts w:ascii="Arial" w:hAnsi="Arial"/>
        </w:rPr>
        <w:t xml:space="preserve">Odcinek podlegający ocenie nie może przekraczać 50 </w:t>
      </w:r>
      <w:proofErr w:type="spellStart"/>
      <w:r w:rsidRPr="00826C9D">
        <w:rPr>
          <w:rFonts w:ascii="Arial" w:hAnsi="Arial"/>
        </w:rPr>
        <w:t>mb</w:t>
      </w:r>
      <w:proofErr w:type="spellEnd"/>
      <w:r w:rsidRPr="00826C9D">
        <w:rPr>
          <w:rFonts w:ascii="Arial" w:hAnsi="Arial"/>
        </w:rPr>
        <w:t>.</w:t>
      </w:r>
    </w:p>
    <w:p w14:paraId="518A4D7E" w14:textId="7ED1D700" w:rsidR="003006F5" w:rsidRPr="00826C9D" w:rsidRDefault="003006F5" w:rsidP="00C0119D">
      <w:pPr>
        <w:pStyle w:val="Nagwek2"/>
        <w:numPr>
          <w:ilvl w:val="0"/>
          <w:numId w:val="26"/>
        </w:numPr>
        <w:ind w:left="284" w:hanging="284"/>
        <w:rPr>
          <w:rFonts w:cs="Arial"/>
          <w:szCs w:val="20"/>
        </w:rPr>
      </w:pPr>
      <w:r w:rsidRPr="00826C9D">
        <w:rPr>
          <w:rFonts w:cs="Arial"/>
          <w:szCs w:val="20"/>
        </w:rPr>
        <w:br w:type="page"/>
      </w:r>
      <w:bookmarkStart w:id="58" w:name="_Toc198211976"/>
      <w:bookmarkStart w:id="59" w:name="_Toc218669645"/>
      <w:r w:rsidRPr="00826C9D">
        <w:rPr>
          <w:rFonts w:cs="Arial"/>
          <w:szCs w:val="20"/>
        </w:rPr>
        <w:lastRenderedPageBreak/>
        <w:t>DROGOWE OBIEKTY IN</w:t>
      </w:r>
      <w:r w:rsidR="004E5BA8">
        <w:rPr>
          <w:rFonts w:cs="Arial"/>
          <w:szCs w:val="20"/>
        </w:rPr>
        <w:t>Ż</w:t>
      </w:r>
      <w:r w:rsidRPr="00826C9D">
        <w:rPr>
          <w:rFonts w:cs="Arial"/>
          <w:szCs w:val="20"/>
        </w:rPr>
        <w:t>YNIERSKIE</w:t>
      </w:r>
      <w:bookmarkEnd w:id="58"/>
      <w:bookmarkEnd w:id="59"/>
    </w:p>
    <w:p w14:paraId="41CBAE05" w14:textId="559E5F3D" w:rsidR="003006F5" w:rsidRPr="00826C9D" w:rsidRDefault="003A169F" w:rsidP="003006F5">
      <w:pPr>
        <w:spacing w:before="120" w:after="120"/>
        <w:jc w:val="both"/>
        <w:rPr>
          <w:rFonts w:ascii="Arial" w:hAnsi="Arial"/>
        </w:rPr>
      </w:pPr>
      <w:r w:rsidRPr="00826C9D">
        <w:rPr>
          <w:rFonts w:ascii="Arial" w:hAnsi="Arial"/>
        </w:rPr>
        <w:t>[</w:t>
      </w:r>
      <w:r w:rsidRPr="00650008">
        <w:rPr>
          <w:rFonts w:ascii="Arial" w:hAnsi="Arial"/>
          <w:b/>
          <w:i/>
        </w:rPr>
        <w:t>minimum</w:t>
      </w:r>
      <w:r w:rsidRPr="00650008">
        <w:rPr>
          <w:rFonts w:ascii="Arial" w:hAnsi="Arial"/>
          <w:i/>
        </w:rPr>
        <w:t xml:space="preserve"> </w:t>
      </w:r>
      <w:r>
        <w:rPr>
          <w:rFonts w:ascii="Arial" w:hAnsi="Arial"/>
          <w:b/>
          <w:i/>
        </w:rPr>
        <w:t>60</w:t>
      </w:r>
      <w:r w:rsidRPr="00826C9D">
        <w:rPr>
          <w:rFonts w:ascii="Arial" w:hAnsi="Arial"/>
        </w:rPr>
        <w:t xml:space="preserve">] </w:t>
      </w:r>
      <w:r w:rsidRPr="00826C9D">
        <w:rPr>
          <w:rFonts w:ascii="Arial" w:hAnsi="Arial"/>
          <w:b/>
        </w:rPr>
        <w:t>miesięcy</w:t>
      </w:r>
      <w:r w:rsidRPr="00826C9D">
        <w:rPr>
          <w:rFonts w:ascii="Arial" w:hAnsi="Arial"/>
        </w:rPr>
        <w:t xml:space="preserve"> gwarancji zgodnie z Ofertą Wykonawcy</w:t>
      </w:r>
      <w:r w:rsidR="003006F5" w:rsidRPr="00826C9D">
        <w:rPr>
          <w:rFonts w:ascii="Arial" w:hAnsi="Arial"/>
        </w:rPr>
        <w:t>.</w:t>
      </w:r>
    </w:p>
    <w:p w14:paraId="3DDFC817" w14:textId="77777777" w:rsidR="003006F5" w:rsidRPr="00826C9D" w:rsidRDefault="003006F5" w:rsidP="00C0119D">
      <w:pPr>
        <w:numPr>
          <w:ilvl w:val="1"/>
          <w:numId w:val="26"/>
        </w:numPr>
        <w:spacing w:before="120" w:after="120"/>
        <w:ind w:left="709" w:hanging="709"/>
        <w:jc w:val="both"/>
        <w:rPr>
          <w:rFonts w:ascii="Arial" w:hAnsi="Arial"/>
          <w:b/>
        </w:rPr>
      </w:pPr>
      <w:r w:rsidRPr="00826C9D">
        <w:rPr>
          <w:rFonts w:ascii="Arial" w:hAnsi="Arial"/>
          <w:b/>
        </w:rPr>
        <w:t>Rodzaje obiektów inżynierskich</w:t>
      </w:r>
    </w:p>
    <w:p w14:paraId="4D0BDEC4" w14:textId="77777777" w:rsidR="003006F5" w:rsidRPr="00826C9D" w:rsidRDefault="003006F5" w:rsidP="003006F5">
      <w:pPr>
        <w:spacing w:before="120" w:after="120"/>
        <w:ind w:left="709"/>
        <w:jc w:val="both"/>
        <w:rPr>
          <w:rFonts w:ascii="Arial" w:hAnsi="Arial"/>
        </w:rPr>
      </w:pPr>
      <w:r w:rsidRPr="00826C9D">
        <w:rPr>
          <w:rFonts w:ascii="Arial" w:hAnsi="Arial"/>
        </w:rPr>
        <w:t>Do drogowych obiektów inżynierskich zalicza się:</w:t>
      </w:r>
    </w:p>
    <w:p w14:paraId="5B6DD8D2" w14:textId="77777777" w:rsidR="003006F5" w:rsidRPr="00826C9D" w:rsidRDefault="003006F5" w:rsidP="00C0119D">
      <w:pPr>
        <w:numPr>
          <w:ilvl w:val="0"/>
          <w:numId w:val="21"/>
        </w:numPr>
        <w:spacing w:before="120" w:after="120"/>
        <w:ind w:left="993" w:hanging="284"/>
        <w:jc w:val="both"/>
        <w:rPr>
          <w:rFonts w:ascii="Arial" w:hAnsi="Arial"/>
        </w:rPr>
      </w:pPr>
      <w:r w:rsidRPr="00826C9D">
        <w:rPr>
          <w:rFonts w:ascii="Arial" w:hAnsi="Arial"/>
        </w:rPr>
        <w:t>obiekty mostowe, a w tym: mosty, wiadukty, estakady, kładki dla pieszych,</w:t>
      </w:r>
    </w:p>
    <w:p w14:paraId="2023E567" w14:textId="77777777" w:rsidR="003006F5" w:rsidRPr="00826C9D" w:rsidRDefault="003006F5" w:rsidP="00C0119D">
      <w:pPr>
        <w:numPr>
          <w:ilvl w:val="0"/>
          <w:numId w:val="21"/>
        </w:numPr>
        <w:spacing w:before="120" w:after="120"/>
        <w:ind w:left="993" w:hanging="284"/>
        <w:jc w:val="both"/>
        <w:rPr>
          <w:rFonts w:ascii="Arial" w:hAnsi="Arial"/>
        </w:rPr>
      </w:pPr>
      <w:r w:rsidRPr="00826C9D">
        <w:rPr>
          <w:rFonts w:ascii="Arial" w:hAnsi="Arial"/>
        </w:rPr>
        <w:t>tunele, a w tym: tunele drogowe, przejścia podziemne,</w:t>
      </w:r>
    </w:p>
    <w:p w14:paraId="1C247697" w14:textId="77777777" w:rsidR="003006F5" w:rsidRPr="00826C9D" w:rsidRDefault="003006F5" w:rsidP="00C0119D">
      <w:pPr>
        <w:numPr>
          <w:ilvl w:val="0"/>
          <w:numId w:val="21"/>
        </w:numPr>
        <w:spacing w:before="120" w:after="120"/>
        <w:ind w:left="993" w:hanging="284"/>
        <w:jc w:val="both"/>
        <w:rPr>
          <w:rFonts w:ascii="Arial" w:hAnsi="Arial"/>
        </w:rPr>
      </w:pPr>
      <w:r w:rsidRPr="00826C9D">
        <w:rPr>
          <w:rFonts w:ascii="Arial" w:hAnsi="Arial"/>
        </w:rPr>
        <w:t>przepusty,</w:t>
      </w:r>
    </w:p>
    <w:p w14:paraId="3DE62DFC" w14:textId="77777777" w:rsidR="003006F5" w:rsidRPr="00826C9D" w:rsidRDefault="003006F5" w:rsidP="00C0119D">
      <w:pPr>
        <w:numPr>
          <w:ilvl w:val="0"/>
          <w:numId w:val="21"/>
        </w:numPr>
        <w:spacing w:before="120" w:after="120"/>
        <w:ind w:left="993" w:hanging="284"/>
        <w:jc w:val="both"/>
        <w:rPr>
          <w:rFonts w:ascii="Arial" w:hAnsi="Arial"/>
        </w:rPr>
      </w:pPr>
      <w:r w:rsidRPr="00826C9D">
        <w:rPr>
          <w:rFonts w:ascii="Arial" w:hAnsi="Arial"/>
        </w:rPr>
        <w:t>konstrukcje oporowe.</w:t>
      </w:r>
    </w:p>
    <w:p w14:paraId="427F000D" w14:textId="77777777" w:rsidR="003006F5" w:rsidRPr="00826C9D" w:rsidRDefault="003006F5" w:rsidP="00C0119D">
      <w:pPr>
        <w:numPr>
          <w:ilvl w:val="1"/>
          <w:numId w:val="26"/>
        </w:numPr>
        <w:spacing w:before="120" w:after="120"/>
        <w:ind w:left="709" w:hanging="709"/>
        <w:jc w:val="both"/>
        <w:rPr>
          <w:rFonts w:ascii="Arial" w:hAnsi="Arial"/>
          <w:b/>
        </w:rPr>
      </w:pPr>
      <w:r w:rsidRPr="00826C9D">
        <w:rPr>
          <w:rFonts w:ascii="Arial" w:hAnsi="Arial"/>
          <w:b/>
        </w:rPr>
        <w:t>Wskaźniki</w:t>
      </w:r>
    </w:p>
    <w:p w14:paraId="1D31D4F5" w14:textId="6AA76721"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Ocena stanu technicznego, każdego elementu drogowego obiektu inżynierskiego, podlegać będzie ocenie zgodnie z „Instrukcją przeprowadzania przeglądów podstawowych </w:t>
      </w:r>
      <w:r w:rsidR="002A439E" w:rsidRPr="00826C9D">
        <w:rPr>
          <w:rFonts w:ascii="Arial" w:hAnsi="Arial"/>
        </w:rPr>
        <w:br/>
      </w:r>
      <w:r w:rsidRPr="00826C9D">
        <w:rPr>
          <w:rFonts w:ascii="Arial" w:hAnsi="Arial"/>
        </w:rPr>
        <w:t xml:space="preserve">i rozszerzonych drogowych obiektów inżynierskich” wprowadzoną </w:t>
      </w:r>
      <w:r w:rsidR="008B53FF" w:rsidRPr="00826C9D">
        <w:rPr>
          <w:rFonts w:ascii="Arial" w:hAnsi="Arial"/>
        </w:rPr>
        <w:t>do stosowania Zarządzeniem nr 35</w:t>
      </w:r>
      <w:r w:rsidRPr="00826C9D">
        <w:rPr>
          <w:rFonts w:ascii="Arial" w:hAnsi="Arial"/>
        </w:rPr>
        <w:t xml:space="preserve"> Generalnego Dyrektora Dróg Krajowych i Autostrad z dnia </w:t>
      </w:r>
      <w:r w:rsidR="008B53FF" w:rsidRPr="00826C9D">
        <w:rPr>
          <w:rFonts w:ascii="Arial" w:hAnsi="Arial"/>
        </w:rPr>
        <w:t>28</w:t>
      </w:r>
      <w:r w:rsidRPr="00826C9D">
        <w:rPr>
          <w:rFonts w:ascii="Arial" w:hAnsi="Arial"/>
        </w:rPr>
        <w:t xml:space="preserve"> </w:t>
      </w:r>
      <w:r w:rsidR="008B53FF" w:rsidRPr="00826C9D">
        <w:rPr>
          <w:rFonts w:ascii="Arial" w:hAnsi="Arial"/>
        </w:rPr>
        <w:t>września 2020</w:t>
      </w:r>
      <w:r w:rsidRPr="00826C9D">
        <w:rPr>
          <w:rFonts w:ascii="Arial" w:hAnsi="Arial"/>
        </w:rPr>
        <w:t xml:space="preserve"> r. z późniejszymi zmianami.</w:t>
      </w:r>
    </w:p>
    <w:p w14:paraId="1BC37381"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 xml:space="preserve">Skala i kryteria ocen punktowych stanu technicznego każdego elementu drogowego obiektu inżynierskiego, podlegać będzie ocenie zgodnie z „Zasadami stosowania skali ocen punktowych stanu technicznego i przydatności do użytkowania drogowych obiektów inżynierskich” wprowadzonymi </w:t>
      </w:r>
      <w:r w:rsidR="008B53FF" w:rsidRPr="00826C9D">
        <w:rPr>
          <w:rFonts w:ascii="Arial" w:hAnsi="Arial"/>
        </w:rPr>
        <w:t>do stosowania Zarządzeniem Nr 1</w:t>
      </w:r>
      <w:r w:rsidRPr="00826C9D">
        <w:rPr>
          <w:rFonts w:ascii="Arial" w:hAnsi="Arial"/>
        </w:rPr>
        <w:t xml:space="preserve"> Generalnego Dyrektora Dró</w:t>
      </w:r>
      <w:r w:rsidR="008B53FF" w:rsidRPr="00826C9D">
        <w:rPr>
          <w:rFonts w:ascii="Arial" w:hAnsi="Arial"/>
        </w:rPr>
        <w:t>g Krajowych i Autostrad z dnia 30 stycznia 2019</w:t>
      </w:r>
      <w:r w:rsidRPr="00826C9D">
        <w:rPr>
          <w:rFonts w:ascii="Arial" w:hAnsi="Arial"/>
        </w:rPr>
        <w:t xml:space="preserve"> r.</w:t>
      </w:r>
    </w:p>
    <w:p w14:paraId="3432CDB1"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Końcową oceną stanu technicznego każdego elementu drogowego obiektu inżynierskiego będzie najniższa ocena za każdy rodzaj uszkodzeń przewidzianych dla tego elementu zgodnie z „Zasadami stosowania skali ocen punktowych stanu technicznego i przydatności do użytkowania drogowych obiektów inżynierskich”.</w:t>
      </w:r>
    </w:p>
    <w:p w14:paraId="1C09D120" w14:textId="438F941E"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W końcowej ocenie stanu technicznego każdego elementu nie będą uwzględniane jako rodzaj uszkodzenia – Zanieczyszczenia, zgodnie z katalogiem uszkodzeń zawartym w „Instrukcji przeprowadzania przeglądów podstawowych i rozszerzonych drogowych obiektów</w:t>
      </w:r>
      <w:r w:rsidR="004E5BA8">
        <w:rPr>
          <w:rFonts w:ascii="Arial" w:hAnsi="Arial"/>
        </w:rPr>
        <w:t xml:space="preserve"> </w:t>
      </w:r>
      <w:r w:rsidRPr="00826C9D">
        <w:rPr>
          <w:rFonts w:ascii="Arial" w:hAnsi="Arial"/>
        </w:rPr>
        <w:t>inżynierskich”.</w:t>
      </w:r>
    </w:p>
    <w:p w14:paraId="3FA87997" w14:textId="77777777" w:rsidR="003006F5" w:rsidRPr="00826C9D" w:rsidRDefault="003006F5" w:rsidP="00C0119D">
      <w:pPr>
        <w:numPr>
          <w:ilvl w:val="2"/>
          <w:numId w:val="26"/>
        </w:numPr>
        <w:spacing w:before="120" w:after="120"/>
        <w:ind w:left="709" w:hanging="709"/>
        <w:jc w:val="both"/>
        <w:rPr>
          <w:rFonts w:ascii="Arial" w:hAnsi="Arial"/>
        </w:rPr>
      </w:pPr>
      <w:r w:rsidRPr="00826C9D">
        <w:rPr>
          <w:rFonts w:ascii="Arial" w:hAnsi="Arial"/>
        </w:rPr>
        <w:t>Do oceny elementów nie będą wliczane oceny cząstkowe dotyczące rodzaju uszkodzeń (zgodnie z „Zasadami stosowania skali ocen punktowych stanu technicznego i przydatności do użytkowania drogowych obiektów inżynierskich”), które wystąpiły na skutek zdarzeń losowych, tj. uszkodzeń elementów konstrukcji obiektu niewynikających z warunków normalnej eksploatacji.</w:t>
      </w:r>
      <w:r w:rsidR="00773B1F" w:rsidRPr="00826C9D">
        <w:rPr>
          <w:rFonts w:ascii="Arial" w:hAnsi="Arial"/>
        </w:rPr>
        <w:t xml:space="preserve"> </w:t>
      </w:r>
    </w:p>
    <w:p w14:paraId="3D4D5BD7" w14:textId="77777777" w:rsidR="003006F5" w:rsidRPr="00826C9D" w:rsidRDefault="003006F5" w:rsidP="00C0119D">
      <w:pPr>
        <w:numPr>
          <w:ilvl w:val="1"/>
          <w:numId w:val="26"/>
        </w:numPr>
        <w:spacing w:before="120" w:after="120"/>
        <w:ind w:left="709" w:hanging="709"/>
        <w:jc w:val="both"/>
        <w:rPr>
          <w:rFonts w:ascii="Arial" w:hAnsi="Arial"/>
        </w:rPr>
      </w:pPr>
      <w:r w:rsidRPr="00826C9D">
        <w:rPr>
          <w:rFonts w:ascii="Arial" w:hAnsi="Arial"/>
          <w:b/>
        </w:rPr>
        <w:t>Ocena stopnia zużycia</w:t>
      </w:r>
    </w:p>
    <w:p w14:paraId="5BC9139B" w14:textId="77777777" w:rsidR="003006F5" w:rsidRPr="00826C9D" w:rsidRDefault="003006F5" w:rsidP="003006F5">
      <w:pPr>
        <w:spacing w:before="120" w:after="120"/>
        <w:jc w:val="both"/>
        <w:rPr>
          <w:rFonts w:ascii="Arial" w:hAnsi="Arial"/>
        </w:rPr>
      </w:pPr>
      <w:r w:rsidRPr="00826C9D">
        <w:rPr>
          <w:rFonts w:ascii="Arial" w:hAnsi="Arial"/>
        </w:rPr>
        <w:t>Nie dopuszcza się niższej oceny niż 4 pkt w trakcie trwania okresu gwarancji, dla stanu technicznego każdego elementu, podlegającego ocenie zgodnie z „Instrukcją przeprowadzania przeglądów podstawowych i rozszerzonych drogowych obiektów inżynierskich” oraz „Zasadami stosowania skali ocen punktowych stanu technicznego i przydatności do użytkowania drogowych obiektów inżynierskich”.</w:t>
      </w:r>
    </w:p>
    <w:p w14:paraId="4C020C9B" w14:textId="77777777" w:rsidR="003006F5" w:rsidRPr="00826C9D" w:rsidRDefault="008645D4" w:rsidP="00C0119D">
      <w:pPr>
        <w:pStyle w:val="Nagwek2"/>
        <w:numPr>
          <w:ilvl w:val="0"/>
          <w:numId w:val="26"/>
        </w:numPr>
        <w:ind w:left="426" w:hanging="426"/>
        <w:rPr>
          <w:rFonts w:cs="Arial"/>
          <w:szCs w:val="20"/>
        </w:rPr>
      </w:pPr>
      <w:r w:rsidRPr="00826C9D">
        <w:rPr>
          <w:rFonts w:cs="Arial"/>
          <w:szCs w:val="20"/>
          <w:highlight w:val="lightGray"/>
        </w:rPr>
        <w:br w:type="page"/>
      </w:r>
      <w:bookmarkStart w:id="60" w:name="_Toc198211977"/>
      <w:bookmarkStart w:id="61" w:name="_Toc218669646"/>
      <w:r w:rsidR="003006F5" w:rsidRPr="00826C9D">
        <w:rPr>
          <w:rFonts w:cs="Arial"/>
          <w:szCs w:val="20"/>
        </w:rPr>
        <w:lastRenderedPageBreak/>
        <w:t>BRANŻE</w:t>
      </w:r>
      <w:bookmarkEnd w:id="60"/>
      <w:bookmarkEnd w:id="61"/>
    </w:p>
    <w:p w14:paraId="05AA7459" w14:textId="77777777" w:rsidR="003006F5" w:rsidRPr="00826C9D" w:rsidRDefault="003006F5" w:rsidP="00C0119D">
      <w:pPr>
        <w:numPr>
          <w:ilvl w:val="1"/>
          <w:numId w:val="26"/>
        </w:numPr>
        <w:spacing w:before="120" w:after="120"/>
        <w:ind w:left="709" w:hanging="709"/>
        <w:jc w:val="both"/>
        <w:rPr>
          <w:rFonts w:ascii="Arial" w:hAnsi="Arial"/>
          <w:b/>
        </w:rPr>
      </w:pPr>
      <w:r w:rsidRPr="00826C9D">
        <w:rPr>
          <w:rFonts w:ascii="Arial" w:hAnsi="Arial"/>
          <w:b/>
        </w:rPr>
        <w:t>Infrastruktura techniczna</w:t>
      </w:r>
    </w:p>
    <w:p w14:paraId="773E2C3B" w14:textId="25EB70DC" w:rsidR="003006F5" w:rsidRPr="00826C9D" w:rsidRDefault="003006F5" w:rsidP="00C0119D">
      <w:pPr>
        <w:pStyle w:val="Akapitzlist1"/>
        <w:numPr>
          <w:ilvl w:val="2"/>
          <w:numId w:val="26"/>
        </w:numPr>
        <w:ind w:left="709" w:hanging="709"/>
        <w:jc w:val="both"/>
        <w:rPr>
          <w:rFonts w:ascii="Arial" w:hAnsi="Arial"/>
        </w:rPr>
      </w:pPr>
      <w:r w:rsidRPr="00826C9D">
        <w:rPr>
          <w:rFonts w:ascii="Arial" w:hAnsi="Arial"/>
        </w:rPr>
        <w:t>Jeżeli gestorem infrastruktury technicznej</w:t>
      </w:r>
      <w:r w:rsidR="002B7B8F">
        <w:rPr>
          <w:rFonts w:ascii="Arial" w:hAnsi="Arial"/>
        </w:rPr>
        <w:t xml:space="preserve"> (w tym kamery monitoringu, system łączności światłowodowej i in.) </w:t>
      </w:r>
      <w:r w:rsidRPr="00826C9D">
        <w:rPr>
          <w:rFonts w:ascii="Arial" w:hAnsi="Arial"/>
        </w:rPr>
        <w:t xml:space="preserve"> jest Zamawiający</w:t>
      </w:r>
      <w:r w:rsidR="00D4132C">
        <w:rPr>
          <w:rFonts w:ascii="Arial" w:hAnsi="Arial"/>
        </w:rPr>
        <w:t xml:space="preserve"> </w:t>
      </w:r>
      <w:r w:rsidRPr="00826C9D">
        <w:rPr>
          <w:rFonts w:ascii="Arial" w:hAnsi="Arial"/>
        </w:rPr>
        <w:t xml:space="preserve">– okres Gwarancji Jakości wynosi </w:t>
      </w:r>
      <w:r w:rsidR="003A169F" w:rsidRPr="00826C9D">
        <w:rPr>
          <w:rFonts w:ascii="Arial" w:hAnsi="Arial"/>
        </w:rPr>
        <w:t>[</w:t>
      </w:r>
      <w:r w:rsidR="003A169F" w:rsidRPr="00650008">
        <w:rPr>
          <w:rFonts w:ascii="Arial" w:hAnsi="Arial"/>
          <w:b/>
          <w:i/>
        </w:rPr>
        <w:t>minimum</w:t>
      </w:r>
      <w:r w:rsidR="003A169F" w:rsidRPr="00650008">
        <w:rPr>
          <w:rFonts w:ascii="Arial" w:hAnsi="Arial"/>
          <w:i/>
        </w:rPr>
        <w:t xml:space="preserve"> </w:t>
      </w:r>
      <w:r w:rsidR="003A169F">
        <w:rPr>
          <w:rFonts w:ascii="Arial" w:hAnsi="Arial"/>
          <w:b/>
          <w:i/>
        </w:rPr>
        <w:t>60</w:t>
      </w:r>
      <w:r w:rsidR="003A169F" w:rsidRPr="00826C9D">
        <w:rPr>
          <w:rFonts w:ascii="Arial" w:hAnsi="Arial"/>
        </w:rPr>
        <w:t xml:space="preserve">] </w:t>
      </w:r>
      <w:r w:rsidR="003A169F" w:rsidRPr="00826C9D">
        <w:rPr>
          <w:rFonts w:ascii="Arial" w:hAnsi="Arial"/>
          <w:b/>
        </w:rPr>
        <w:t>miesięcy</w:t>
      </w:r>
      <w:r w:rsidR="003A169F" w:rsidRPr="00826C9D">
        <w:rPr>
          <w:rFonts w:ascii="Arial" w:hAnsi="Arial"/>
        </w:rPr>
        <w:t xml:space="preserve"> gwarancji zgodnie z Ofertą Wykonawcy</w:t>
      </w:r>
      <w:r w:rsidRPr="00826C9D">
        <w:rPr>
          <w:rFonts w:ascii="Arial" w:hAnsi="Arial"/>
        </w:rPr>
        <w:t>.</w:t>
      </w:r>
    </w:p>
    <w:p w14:paraId="2733D297" w14:textId="77777777" w:rsidR="003006F5" w:rsidRPr="00826C9D" w:rsidRDefault="003006F5" w:rsidP="00C0119D">
      <w:pPr>
        <w:pStyle w:val="Akapitzlist1"/>
        <w:numPr>
          <w:ilvl w:val="2"/>
          <w:numId w:val="26"/>
        </w:numPr>
        <w:spacing w:before="120" w:after="120"/>
        <w:ind w:left="709"/>
        <w:jc w:val="both"/>
        <w:rPr>
          <w:rFonts w:ascii="Arial" w:hAnsi="Arial"/>
        </w:rPr>
      </w:pPr>
      <w:r w:rsidRPr="00826C9D">
        <w:rPr>
          <w:rFonts w:ascii="Arial" w:hAnsi="Arial"/>
        </w:rPr>
        <w:t>Jeżeli gestorem infrastruktury technicznej jest „Podmiot Obcy” – Gwarancja Jakości winna wynosić zgodnie z wymaganiami od „Gestora” wskazanymi w umowie/</w:t>
      </w:r>
      <w:r w:rsidR="008645D4" w:rsidRPr="00826C9D">
        <w:rPr>
          <w:rFonts w:ascii="Arial" w:hAnsi="Arial"/>
        </w:rPr>
        <w:t xml:space="preserve"> </w:t>
      </w:r>
      <w:r w:rsidRPr="00826C9D">
        <w:rPr>
          <w:rFonts w:ascii="Arial" w:hAnsi="Arial"/>
        </w:rPr>
        <w:t>uzgodnieniu na przebudowę infrastruktury.</w:t>
      </w:r>
    </w:p>
    <w:p w14:paraId="0A22A7C7" w14:textId="77777777" w:rsidR="003006F5" w:rsidRPr="00826C9D" w:rsidRDefault="003006F5" w:rsidP="00C0119D">
      <w:pPr>
        <w:numPr>
          <w:ilvl w:val="1"/>
          <w:numId w:val="26"/>
        </w:numPr>
        <w:spacing w:before="120" w:after="120"/>
        <w:ind w:left="709" w:hanging="709"/>
        <w:jc w:val="both"/>
        <w:rPr>
          <w:rFonts w:ascii="Arial" w:hAnsi="Arial"/>
          <w:b/>
        </w:rPr>
      </w:pPr>
      <w:r w:rsidRPr="00826C9D">
        <w:rPr>
          <w:rFonts w:ascii="Arial" w:hAnsi="Arial"/>
          <w:b/>
        </w:rPr>
        <w:t>Oświetlenie</w:t>
      </w:r>
    </w:p>
    <w:p w14:paraId="6E8B2441" w14:textId="77777777" w:rsidR="003006F5" w:rsidRPr="00826C9D" w:rsidRDefault="003006F5" w:rsidP="003006F5">
      <w:pPr>
        <w:spacing w:before="120" w:after="120"/>
        <w:ind w:left="709"/>
        <w:jc w:val="both"/>
        <w:rPr>
          <w:rFonts w:ascii="Arial" w:hAnsi="Arial"/>
        </w:rPr>
      </w:pPr>
      <w:r w:rsidRPr="00826C9D">
        <w:rPr>
          <w:rFonts w:ascii="Arial" w:hAnsi="Arial"/>
        </w:rPr>
        <w:t>Okres Gwarancji Jakości dla:</w:t>
      </w:r>
    </w:p>
    <w:p w14:paraId="6AFABCD5" w14:textId="77777777" w:rsidR="003006F5" w:rsidRPr="00826C9D" w:rsidRDefault="003006F5" w:rsidP="00C0119D">
      <w:pPr>
        <w:numPr>
          <w:ilvl w:val="0"/>
          <w:numId w:val="20"/>
        </w:numPr>
        <w:spacing w:before="120" w:after="120"/>
        <w:ind w:left="993" w:hanging="284"/>
        <w:jc w:val="both"/>
        <w:rPr>
          <w:rFonts w:ascii="Arial" w:hAnsi="Arial"/>
        </w:rPr>
      </w:pPr>
      <w:r w:rsidRPr="00826C9D">
        <w:rPr>
          <w:rFonts w:ascii="Arial" w:hAnsi="Arial"/>
        </w:rPr>
        <w:t xml:space="preserve">klasycznych opraw oświetleniowych [źródła światła i oprawy] wynosi </w:t>
      </w:r>
      <w:r w:rsidRPr="00826C9D">
        <w:rPr>
          <w:rFonts w:ascii="Arial" w:hAnsi="Arial"/>
          <w:b/>
        </w:rPr>
        <w:t>60 miesięcy</w:t>
      </w:r>
    </w:p>
    <w:p w14:paraId="302B34E3" w14:textId="77777777" w:rsidR="003006F5" w:rsidRPr="00826C9D" w:rsidRDefault="003006F5" w:rsidP="00C0119D">
      <w:pPr>
        <w:numPr>
          <w:ilvl w:val="0"/>
          <w:numId w:val="20"/>
        </w:numPr>
        <w:spacing w:before="120" w:after="120"/>
        <w:ind w:left="993" w:hanging="284"/>
        <w:jc w:val="both"/>
        <w:rPr>
          <w:rFonts w:ascii="Arial" w:hAnsi="Arial"/>
        </w:rPr>
      </w:pPr>
      <w:proofErr w:type="spellStart"/>
      <w:r w:rsidRPr="00826C9D">
        <w:rPr>
          <w:rFonts w:ascii="Arial" w:hAnsi="Arial"/>
        </w:rPr>
        <w:t>ledowych</w:t>
      </w:r>
      <w:proofErr w:type="spellEnd"/>
      <w:r w:rsidRPr="00826C9D">
        <w:rPr>
          <w:rFonts w:ascii="Arial" w:hAnsi="Arial"/>
        </w:rPr>
        <w:t xml:space="preserve"> opraw oświetleniowych (LED) [źródła światła i oprawy] wynosi </w:t>
      </w:r>
      <w:r w:rsidRPr="00826C9D">
        <w:rPr>
          <w:rFonts w:ascii="Arial" w:hAnsi="Arial"/>
          <w:b/>
        </w:rPr>
        <w:t>120 miesięcy</w:t>
      </w:r>
    </w:p>
    <w:p w14:paraId="0498A589" w14:textId="77777777" w:rsidR="003006F5" w:rsidRPr="00826C9D" w:rsidRDefault="003006F5" w:rsidP="00C0119D">
      <w:pPr>
        <w:numPr>
          <w:ilvl w:val="0"/>
          <w:numId w:val="20"/>
        </w:numPr>
        <w:spacing w:before="120" w:after="120"/>
        <w:ind w:left="993" w:hanging="284"/>
        <w:jc w:val="both"/>
        <w:rPr>
          <w:rFonts w:ascii="Arial" w:hAnsi="Arial"/>
        </w:rPr>
      </w:pPr>
      <w:r w:rsidRPr="00826C9D">
        <w:rPr>
          <w:rFonts w:ascii="Arial" w:hAnsi="Arial"/>
        </w:rPr>
        <w:t xml:space="preserve">konstrukcji wsporczej, słupów, masztów, szafek oświetleniowych, kabli i innych elementów składowych oświetlenia – </w:t>
      </w:r>
      <w:r w:rsidRPr="00826C9D">
        <w:rPr>
          <w:rFonts w:ascii="Arial" w:hAnsi="Arial"/>
          <w:b/>
        </w:rPr>
        <w:t>60 miesięcy</w:t>
      </w:r>
      <w:r w:rsidRPr="00826C9D">
        <w:rPr>
          <w:rFonts w:ascii="Arial" w:hAnsi="Arial"/>
        </w:rPr>
        <w:t>.</w:t>
      </w:r>
    </w:p>
    <w:p w14:paraId="6F132DAB" w14:textId="77777777" w:rsidR="003006F5" w:rsidRPr="00826C9D" w:rsidRDefault="003006F5" w:rsidP="003006F5">
      <w:pPr>
        <w:spacing w:before="120" w:after="120"/>
        <w:ind w:left="709"/>
        <w:jc w:val="both"/>
        <w:rPr>
          <w:rFonts w:ascii="Arial" w:hAnsi="Arial"/>
        </w:rPr>
      </w:pPr>
      <w:r w:rsidRPr="00826C9D">
        <w:rPr>
          <w:rFonts w:ascii="Arial" w:hAnsi="Arial"/>
        </w:rPr>
        <w:t>Stan powłok zabezpieczających przed korozją opraw oświetleniowych, konstrukcji wsporczej, słupów, masztów, szafek oświetleniowych i innych elementów składowych oświetlenia należy ocenić pod względem stopnia zmian objawiających się przez złuszczenia, spękania, pofałdowania, tworzenie się pęcherzy itp. Dopuszczalny jest stopień zmian powłoki antykorozyjnej na poziomie 5% powierzchni danego elementu.</w:t>
      </w:r>
    </w:p>
    <w:p w14:paraId="4DCBDC1A" w14:textId="77777777" w:rsidR="003006F5" w:rsidRPr="00826C9D" w:rsidRDefault="003006F5" w:rsidP="008645D4">
      <w:pPr>
        <w:pStyle w:val="Akapitzlist1"/>
        <w:spacing w:before="120" w:after="120"/>
        <w:ind w:left="0"/>
        <w:jc w:val="both"/>
        <w:rPr>
          <w:rFonts w:ascii="Arial" w:hAnsi="Arial"/>
          <w:b/>
        </w:rPr>
      </w:pPr>
    </w:p>
    <w:p w14:paraId="20C7A957" w14:textId="77777777" w:rsidR="003006F5" w:rsidRPr="00826C9D" w:rsidRDefault="003006F5" w:rsidP="003006F5">
      <w:pPr>
        <w:spacing w:before="120" w:after="120"/>
        <w:jc w:val="both"/>
        <w:rPr>
          <w:rFonts w:ascii="Arial" w:hAnsi="Arial"/>
          <w:b/>
        </w:rPr>
      </w:pPr>
      <w:r w:rsidRPr="00826C9D">
        <w:rPr>
          <w:rFonts w:ascii="Arial" w:hAnsi="Arial"/>
          <w:b/>
        </w:rPr>
        <w:t>PODPISY I PIECZĘCIE</w:t>
      </w:r>
    </w:p>
    <w:p w14:paraId="26B8248E" w14:textId="77777777" w:rsidR="003006F5" w:rsidRPr="00826C9D" w:rsidRDefault="003006F5" w:rsidP="003006F5">
      <w:pPr>
        <w:spacing w:before="120" w:after="120"/>
        <w:jc w:val="both"/>
        <w:rPr>
          <w:rFonts w:ascii="Arial" w:hAnsi="Arial"/>
        </w:rPr>
      </w:pPr>
    </w:p>
    <w:p w14:paraId="015F2D0A" w14:textId="77777777" w:rsidR="003006F5" w:rsidRPr="00826C9D" w:rsidRDefault="003006F5" w:rsidP="008645D4">
      <w:pPr>
        <w:spacing w:before="120" w:after="120"/>
        <w:ind w:left="708"/>
        <w:jc w:val="both"/>
        <w:rPr>
          <w:rFonts w:ascii="Arial" w:hAnsi="Arial"/>
        </w:rPr>
      </w:pPr>
      <w:r w:rsidRPr="00826C9D">
        <w:rPr>
          <w:rFonts w:ascii="Arial" w:hAnsi="Arial"/>
          <w:b/>
        </w:rPr>
        <w:t xml:space="preserve">W imieniu Gwaranta:              </w:t>
      </w:r>
      <w:r w:rsidR="008645D4" w:rsidRPr="00826C9D">
        <w:rPr>
          <w:rFonts w:ascii="Arial" w:hAnsi="Arial"/>
          <w:b/>
        </w:rPr>
        <w:tab/>
      </w:r>
      <w:r w:rsidR="008645D4" w:rsidRPr="00826C9D">
        <w:rPr>
          <w:rFonts w:ascii="Arial" w:hAnsi="Arial"/>
          <w:b/>
        </w:rPr>
        <w:tab/>
      </w:r>
      <w:r w:rsidRPr="00826C9D">
        <w:rPr>
          <w:rFonts w:ascii="Arial" w:hAnsi="Arial"/>
          <w:b/>
        </w:rPr>
        <w:t xml:space="preserve">                           W imieniu Zamawiającego:</w:t>
      </w:r>
    </w:p>
    <w:p w14:paraId="3B4F76C1" w14:textId="77777777" w:rsidR="00316A65" w:rsidRPr="00826C9D" w:rsidRDefault="00316A65" w:rsidP="003006F5">
      <w:pPr>
        <w:rPr>
          <w:rFonts w:ascii="Arial" w:hAnsi="Arial"/>
        </w:rPr>
      </w:pPr>
    </w:p>
    <w:sectPr w:rsidR="00316A65" w:rsidRPr="00826C9D" w:rsidSect="00574A68">
      <w:headerReference w:type="default" r:id="rId9"/>
      <w:footerReference w:type="default" r:id="rId10"/>
      <w:headerReference w:type="first" r:id="rId11"/>
      <w:footerReference w:type="first" r:id="rId12"/>
      <w:pgSz w:w="11906" w:h="16838"/>
      <w:pgMar w:top="1418" w:right="1134" w:bottom="1418" w:left="1134" w:header="709" w:footer="30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C927B" w14:textId="77777777" w:rsidR="00F120FE" w:rsidRDefault="00F120FE" w:rsidP="009F2866">
      <w:pPr>
        <w:spacing w:after="0" w:line="240" w:lineRule="auto"/>
      </w:pPr>
      <w:r>
        <w:separator/>
      </w:r>
    </w:p>
  </w:endnote>
  <w:endnote w:type="continuationSeparator" w:id="0">
    <w:p w14:paraId="27DFA2BC" w14:textId="77777777" w:rsidR="00F120FE" w:rsidRDefault="00F120FE" w:rsidP="009F2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ymbolPS">
    <w:altName w:val="Symbol"/>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03380" w14:textId="234566CD" w:rsidR="00F120FE" w:rsidRPr="0043494F" w:rsidRDefault="00F120FE" w:rsidP="0043494F">
    <w:pPr>
      <w:pStyle w:val="Stopka"/>
      <w:spacing w:after="0"/>
      <w:jc w:val="center"/>
      <w:rPr>
        <w:rFonts w:ascii="Arial" w:hAnsi="Arial" w:cs="Arial"/>
        <w:sz w:val="18"/>
        <w:szCs w:val="18"/>
      </w:rPr>
    </w:pPr>
    <w:r w:rsidRPr="002E7CA8">
      <w:rPr>
        <w:rFonts w:ascii="Arial" w:hAnsi="Arial" w:cs="Arial"/>
        <w:sz w:val="18"/>
        <w:szCs w:val="18"/>
      </w:rPr>
      <w:fldChar w:fldCharType="begin"/>
    </w:r>
    <w:r w:rsidRPr="002E7CA8">
      <w:rPr>
        <w:rFonts w:ascii="Arial" w:hAnsi="Arial" w:cs="Arial"/>
        <w:sz w:val="18"/>
        <w:szCs w:val="18"/>
      </w:rPr>
      <w:instrText xml:space="preserve"> PAGE   \* MERGEFORMAT </w:instrText>
    </w:r>
    <w:r w:rsidRPr="002E7CA8">
      <w:rPr>
        <w:rFonts w:ascii="Arial" w:hAnsi="Arial" w:cs="Arial"/>
        <w:sz w:val="18"/>
        <w:szCs w:val="18"/>
      </w:rPr>
      <w:fldChar w:fldCharType="separate"/>
    </w:r>
    <w:r w:rsidR="00BC7974">
      <w:rPr>
        <w:rFonts w:ascii="Arial" w:hAnsi="Arial" w:cs="Arial"/>
        <w:noProof/>
        <w:sz w:val="18"/>
        <w:szCs w:val="18"/>
      </w:rPr>
      <w:t>5</w:t>
    </w:r>
    <w:r w:rsidRPr="002E7CA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B485C" w14:textId="7AADD2BD" w:rsidR="00F120FE" w:rsidRPr="002E7CA8" w:rsidRDefault="00F120FE" w:rsidP="008F2184">
    <w:pPr>
      <w:pStyle w:val="Stopka"/>
      <w:jc w:val="center"/>
      <w:rPr>
        <w:rFonts w:ascii="Arial" w:hAnsi="Arial" w:cs="Arial"/>
        <w:sz w:val="18"/>
        <w:szCs w:val="18"/>
      </w:rPr>
    </w:pPr>
    <w:r w:rsidRPr="002E7CA8">
      <w:rPr>
        <w:rFonts w:ascii="Arial" w:hAnsi="Arial" w:cs="Arial"/>
        <w:sz w:val="18"/>
        <w:szCs w:val="18"/>
      </w:rPr>
      <w:fldChar w:fldCharType="begin"/>
    </w:r>
    <w:r w:rsidRPr="002E7CA8">
      <w:rPr>
        <w:rFonts w:ascii="Arial" w:hAnsi="Arial" w:cs="Arial"/>
        <w:sz w:val="18"/>
        <w:szCs w:val="18"/>
      </w:rPr>
      <w:instrText xml:space="preserve"> PAGE   \* MERGEFORMAT </w:instrText>
    </w:r>
    <w:r w:rsidRPr="002E7CA8">
      <w:rPr>
        <w:rFonts w:ascii="Arial" w:hAnsi="Arial" w:cs="Arial"/>
        <w:sz w:val="18"/>
        <w:szCs w:val="18"/>
      </w:rPr>
      <w:fldChar w:fldCharType="separate"/>
    </w:r>
    <w:r w:rsidR="00BC7974">
      <w:rPr>
        <w:rFonts w:ascii="Arial" w:hAnsi="Arial" w:cs="Arial"/>
        <w:noProof/>
        <w:sz w:val="18"/>
        <w:szCs w:val="18"/>
      </w:rPr>
      <w:t>1</w:t>
    </w:r>
    <w:r w:rsidRPr="002E7CA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A539C" w14:textId="77777777" w:rsidR="00F120FE" w:rsidRDefault="00F120FE" w:rsidP="009F2866">
      <w:pPr>
        <w:spacing w:after="0" w:line="240" w:lineRule="auto"/>
      </w:pPr>
      <w:r>
        <w:separator/>
      </w:r>
    </w:p>
  </w:footnote>
  <w:footnote w:type="continuationSeparator" w:id="0">
    <w:p w14:paraId="3B2331A5" w14:textId="77777777" w:rsidR="00F120FE" w:rsidRDefault="00F120FE" w:rsidP="009F2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CE10" w14:textId="73D96CBE" w:rsidR="00F120FE" w:rsidRDefault="00F120FE">
    <w:pPr>
      <w:pStyle w:val="Nagwek"/>
    </w:pPr>
    <w:r>
      <w:rPr>
        <w:noProof/>
        <w:lang w:eastAsia="pl-PL"/>
      </w:rPr>
      <w:drawing>
        <wp:inline distT="0" distB="0" distL="0" distR="0" wp14:anchorId="772DB5E6" wp14:editId="1426C76E">
          <wp:extent cx="5760085" cy="822325"/>
          <wp:effectExtent l="0" t="0" r="0" b="0"/>
          <wp:docPr id="6883142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14222" name="Obraz 688314222"/>
                  <pic:cNvPicPr/>
                </pic:nvPicPr>
                <pic:blipFill>
                  <a:blip r:embed="rId1">
                    <a:extLst>
                      <a:ext uri="{28A0092B-C50C-407E-A947-70E740481C1C}">
                        <a14:useLocalDpi xmlns:a14="http://schemas.microsoft.com/office/drawing/2010/main" val="0"/>
                      </a:ext>
                    </a:extLst>
                  </a:blip>
                  <a:stretch>
                    <a:fillRect/>
                  </a:stretch>
                </pic:blipFill>
                <pic:spPr>
                  <a:xfrm>
                    <a:off x="0" y="0"/>
                    <a:ext cx="5760085" cy="82232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0959B" w14:textId="314C04EC" w:rsidR="00F120FE" w:rsidRDefault="00F120FE">
    <w:pPr>
      <w:pStyle w:val="Nagwek"/>
    </w:pPr>
    <w:r>
      <w:rPr>
        <w:noProof/>
        <w:lang w:eastAsia="pl-PL"/>
      </w:rPr>
      <w:drawing>
        <wp:inline distT="0" distB="0" distL="0" distR="0" wp14:anchorId="4C65AF2B" wp14:editId="2EAC7748">
          <wp:extent cx="5760085" cy="822325"/>
          <wp:effectExtent l="0" t="0" r="0" b="0"/>
          <wp:docPr id="8152228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22880" name="Obraz 815222880"/>
                  <pic:cNvPicPr/>
                </pic:nvPicPr>
                <pic:blipFill>
                  <a:blip r:embed="rId1">
                    <a:extLst>
                      <a:ext uri="{28A0092B-C50C-407E-A947-70E740481C1C}">
                        <a14:useLocalDpi xmlns:a14="http://schemas.microsoft.com/office/drawing/2010/main" val="0"/>
                      </a:ext>
                    </a:extLst>
                  </a:blip>
                  <a:stretch>
                    <a:fillRect/>
                  </a:stretch>
                </pic:blipFill>
                <pic:spPr>
                  <a:xfrm>
                    <a:off x="0" y="0"/>
                    <a:ext cx="5760085" cy="822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9B5"/>
    <w:multiLevelType w:val="hybridMultilevel"/>
    <w:tmpl w:val="901887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E775AC"/>
    <w:multiLevelType w:val="hybridMultilevel"/>
    <w:tmpl w:val="149C159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84C0C78"/>
    <w:multiLevelType w:val="multilevel"/>
    <w:tmpl w:val="1C9AB986"/>
    <w:lvl w:ilvl="0">
      <w:start w:val="1"/>
      <w:numFmt w:val="decimal"/>
      <w:lvlText w:val="%1."/>
      <w:lvlJc w:val="left"/>
      <w:pPr>
        <w:ind w:left="915" w:hanging="555"/>
      </w:pPr>
      <w:rPr>
        <w:rFonts w:cs="Times New Roman" w:hint="default"/>
      </w:rPr>
    </w:lvl>
    <w:lvl w:ilvl="1">
      <w:start w:val="1"/>
      <w:numFmt w:val="decimal"/>
      <w:isLgl/>
      <w:lvlText w:val="%1.%2"/>
      <w:lvlJc w:val="left"/>
      <w:pPr>
        <w:ind w:left="1080" w:hanging="720"/>
      </w:pPr>
      <w:rPr>
        <w:rFonts w:cs="Times New Roman" w:hint="default"/>
        <w:b w:val="0"/>
        <w:color w:val="00000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15:restartNumberingAfterBreak="0">
    <w:nsid w:val="0AC42112"/>
    <w:multiLevelType w:val="hybridMultilevel"/>
    <w:tmpl w:val="37D65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E903F2"/>
    <w:multiLevelType w:val="hybridMultilevel"/>
    <w:tmpl w:val="096E210C"/>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5" w15:restartNumberingAfterBreak="0">
    <w:nsid w:val="0DC97FAA"/>
    <w:multiLevelType w:val="hybridMultilevel"/>
    <w:tmpl w:val="F790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FF1BCE"/>
    <w:multiLevelType w:val="multilevel"/>
    <w:tmpl w:val="1C9AB986"/>
    <w:lvl w:ilvl="0">
      <w:start w:val="1"/>
      <w:numFmt w:val="decimal"/>
      <w:lvlText w:val="%1."/>
      <w:lvlJc w:val="left"/>
      <w:pPr>
        <w:ind w:left="915" w:hanging="555"/>
      </w:pPr>
      <w:rPr>
        <w:rFonts w:cs="Times New Roman" w:hint="default"/>
      </w:rPr>
    </w:lvl>
    <w:lvl w:ilvl="1">
      <w:start w:val="1"/>
      <w:numFmt w:val="decimal"/>
      <w:isLgl/>
      <w:lvlText w:val="%1.%2"/>
      <w:lvlJc w:val="left"/>
      <w:pPr>
        <w:ind w:left="1080" w:hanging="720"/>
      </w:pPr>
      <w:rPr>
        <w:rFonts w:cs="Times New Roman" w:hint="default"/>
        <w:b w:val="0"/>
        <w:color w:val="00000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0E2C7313"/>
    <w:multiLevelType w:val="hybridMultilevel"/>
    <w:tmpl w:val="EA0A0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9A12E7"/>
    <w:multiLevelType w:val="hybridMultilevel"/>
    <w:tmpl w:val="C71E4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8067C3"/>
    <w:multiLevelType w:val="hybridMultilevel"/>
    <w:tmpl w:val="E056D9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C7450B"/>
    <w:multiLevelType w:val="hybridMultilevel"/>
    <w:tmpl w:val="F7C02C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8A756C"/>
    <w:multiLevelType w:val="hybridMultilevel"/>
    <w:tmpl w:val="11344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FC3454C"/>
    <w:multiLevelType w:val="hybridMultilevel"/>
    <w:tmpl w:val="553EBD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C452DA"/>
    <w:multiLevelType w:val="hybridMultilevel"/>
    <w:tmpl w:val="8E0A84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3855410"/>
    <w:multiLevelType w:val="hybridMultilevel"/>
    <w:tmpl w:val="82FA53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A5254A"/>
    <w:multiLevelType w:val="hybridMultilevel"/>
    <w:tmpl w:val="0E9CF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A339E9"/>
    <w:multiLevelType w:val="hybridMultilevel"/>
    <w:tmpl w:val="3B3E42D6"/>
    <w:lvl w:ilvl="0" w:tplc="950C733E">
      <w:start w:val="1"/>
      <w:numFmt w:val="decimal"/>
      <w:lvlText w:val="2.%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75FF6"/>
    <w:multiLevelType w:val="hybridMultilevel"/>
    <w:tmpl w:val="6B285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2256133"/>
    <w:multiLevelType w:val="hybridMultilevel"/>
    <w:tmpl w:val="24203E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8138D9"/>
    <w:multiLevelType w:val="hybridMultilevel"/>
    <w:tmpl w:val="D37CC9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DC1B20"/>
    <w:multiLevelType w:val="hybridMultilevel"/>
    <w:tmpl w:val="BCB640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7059FD"/>
    <w:multiLevelType w:val="hybridMultilevel"/>
    <w:tmpl w:val="E706585E"/>
    <w:lvl w:ilvl="0" w:tplc="53206C38">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8D72E4"/>
    <w:multiLevelType w:val="hybridMultilevel"/>
    <w:tmpl w:val="F740D3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F81378"/>
    <w:multiLevelType w:val="hybridMultilevel"/>
    <w:tmpl w:val="152EE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EA05CA"/>
    <w:multiLevelType w:val="hybridMultilevel"/>
    <w:tmpl w:val="1568BD9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4D0E609A"/>
    <w:multiLevelType w:val="hybridMultilevel"/>
    <w:tmpl w:val="8710F4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16C72B1"/>
    <w:multiLevelType w:val="multilevel"/>
    <w:tmpl w:val="1C9AB986"/>
    <w:lvl w:ilvl="0">
      <w:start w:val="1"/>
      <w:numFmt w:val="decimal"/>
      <w:lvlText w:val="%1."/>
      <w:lvlJc w:val="left"/>
      <w:pPr>
        <w:ind w:left="915" w:hanging="555"/>
      </w:pPr>
      <w:rPr>
        <w:rFonts w:cs="Times New Roman" w:hint="default"/>
      </w:rPr>
    </w:lvl>
    <w:lvl w:ilvl="1">
      <w:start w:val="1"/>
      <w:numFmt w:val="decimal"/>
      <w:isLgl/>
      <w:lvlText w:val="%1.%2"/>
      <w:lvlJc w:val="left"/>
      <w:pPr>
        <w:ind w:left="1080" w:hanging="720"/>
      </w:pPr>
      <w:rPr>
        <w:rFonts w:cs="Times New Roman" w:hint="default"/>
        <w:b w:val="0"/>
        <w:color w:val="00000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3744736"/>
    <w:multiLevelType w:val="hybridMultilevel"/>
    <w:tmpl w:val="8CE6E5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F97DBC"/>
    <w:multiLevelType w:val="hybridMultilevel"/>
    <w:tmpl w:val="F5208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FE064D9"/>
    <w:multiLevelType w:val="hybridMultilevel"/>
    <w:tmpl w:val="B7A81B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025B4F"/>
    <w:multiLevelType w:val="hybridMultilevel"/>
    <w:tmpl w:val="A7B8A6B8"/>
    <w:lvl w:ilvl="0" w:tplc="76B8DDC6">
      <w:start w:val="1"/>
      <w:numFmt w:val="lowerLetter"/>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33774AF"/>
    <w:multiLevelType w:val="hybridMultilevel"/>
    <w:tmpl w:val="455C4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6A0561E"/>
    <w:multiLevelType w:val="multilevel"/>
    <w:tmpl w:val="37785DF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9D315D"/>
    <w:multiLevelType w:val="multilevel"/>
    <w:tmpl w:val="97B8E11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8F136FA"/>
    <w:multiLevelType w:val="hybridMultilevel"/>
    <w:tmpl w:val="9C84F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424512"/>
    <w:multiLevelType w:val="multilevel"/>
    <w:tmpl w:val="5F9A273E"/>
    <w:lvl w:ilvl="0">
      <w:start w:val="1"/>
      <w:numFmt w:val="upperRoman"/>
      <w:lvlText w:val="%1."/>
      <w:lvlJc w:val="left"/>
      <w:pPr>
        <w:ind w:left="1440" w:hanging="1080"/>
      </w:pPr>
      <w:rPr>
        <w:rFonts w:ascii="Arial" w:hAnsi="Arial" w:cs="Arial" w:hint="default"/>
        <w:sz w:val="20"/>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6C6A0051"/>
    <w:multiLevelType w:val="hybridMultilevel"/>
    <w:tmpl w:val="88FCA9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D494F92"/>
    <w:multiLevelType w:val="hybridMultilevel"/>
    <w:tmpl w:val="C26C2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072149"/>
    <w:multiLevelType w:val="hybridMultilevel"/>
    <w:tmpl w:val="51BAB692"/>
    <w:lvl w:ilvl="0" w:tplc="53206C38">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8A6104"/>
    <w:multiLevelType w:val="hybridMultilevel"/>
    <w:tmpl w:val="00FE5AC6"/>
    <w:lvl w:ilvl="0" w:tplc="7F545C00">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E01FA3"/>
    <w:multiLevelType w:val="hybridMultilevel"/>
    <w:tmpl w:val="EAF4204E"/>
    <w:lvl w:ilvl="0" w:tplc="04150017">
      <w:start w:val="1"/>
      <w:numFmt w:val="lowerLetter"/>
      <w:lvlText w:val="%1)"/>
      <w:lvlJc w:val="left"/>
      <w:pPr>
        <w:ind w:left="1635" w:hanging="360"/>
      </w:pPr>
      <w:rPr>
        <w:rFonts w:cs="Times New Roman"/>
      </w:rPr>
    </w:lvl>
    <w:lvl w:ilvl="1" w:tplc="04150019" w:tentative="1">
      <w:start w:val="1"/>
      <w:numFmt w:val="lowerLetter"/>
      <w:lvlText w:val="%2."/>
      <w:lvlJc w:val="left"/>
      <w:pPr>
        <w:ind w:left="2355" w:hanging="360"/>
      </w:pPr>
      <w:rPr>
        <w:rFonts w:cs="Times New Roman"/>
      </w:rPr>
    </w:lvl>
    <w:lvl w:ilvl="2" w:tplc="0415001B" w:tentative="1">
      <w:start w:val="1"/>
      <w:numFmt w:val="lowerRoman"/>
      <w:lvlText w:val="%3."/>
      <w:lvlJc w:val="right"/>
      <w:pPr>
        <w:ind w:left="3075" w:hanging="180"/>
      </w:pPr>
      <w:rPr>
        <w:rFonts w:cs="Times New Roman"/>
      </w:rPr>
    </w:lvl>
    <w:lvl w:ilvl="3" w:tplc="0415000F" w:tentative="1">
      <w:start w:val="1"/>
      <w:numFmt w:val="decimal"/>
      <w:lvlText w:val="%4."/>
      <w:lvlJc w:val="left"/>
      <w:pPr>
        <w:ind w:left="3795" w:hanging="360"/>
      </w:pPr>
      <w:rPr>
        <w:rFonts w:cs="Times New Roman"/>
      </w:rPr>
    </w:lvl>
    <w:lvl w:ilvl="4" w:tplc="04150019" w:tentative="1">
      <w:start w:val="1"/>
      <w:numFmt w:val="lowerLetter"/>
      <w:lvlText w:val="%5."/>
      <w:lvlJc w:val="left"/>
      <w:pPr>
        <w:ind w:left="4515" w:hanging="360"/>
      </w:pPr>
      <w:rPr>
        <w:rFonts w:cs="Times New Roman"/>
      </w:rPr>
    </w:lvl>
    <w:lvl w:ilvl="5" w:tplc="0415001B" w:tentative="1">
      <w:start w:val="1"/>
      <w:numFmt w:val="lowerRoman"/>
      <w:lvlText w:val="%6."/>
      <w:lvlJc w:val="right"/>
      <w:pPr>
        <w:ind w:left="5235" w:hanging="180"/>
      </w:pPr>
      <w:rPr>
        <w:rFonts w:cs="Times New Roman"/>
      </w:rPr>
    </w:lvl>
    <w:lvl w:ilvl="6" w:tplc="0415000F" w:tentative="1">
      <w:start w:val="1"/>
      <w:numFmt w:val="decimal"/>
      <w:lvlText w:val="%7."/>
      <w:lvlJc w:val="left"/>
      <w:pPr>
        <w:ind w:left="5955" w:hanging="360"/>
      </w:pPr>
      <w:rPr>
        <w:rFonts w:cs="Times New Roman"/>
      </w:rPr>
    </w:lvl>
    <w:lvl w:ilvl="7" w:tplc="04150019" w:tentative="1">
      <w:start w:val="1"/>
      <w:numFmt w:val="lowerLetter"/>
      <w:lvlText w:val="%8."/>
      <w:lvlJc w:val="left"/>
      <w:pPr>
        <w:ind w:left="6675" w:hanging="360"/>
      </w:pPr>
      <w:rPr>
        <w:rFonts w:cs="Times New Roman"/>
      </w:rPr>
    </w:lvl>
    <w:lvl w:ilvl="8" w:tplc="0415001B" w:tentative="1">
      <w:start w:val="1"/>
      <w:numFmt w:val="lowerRoman"/>
      <w:lvlText w:val="%9."/>
      <w:lvlJc w:val="right"/>
      <w:pPr>
        <w:ind w:left="7395" w:hanging="180"/>
      </w:pPr>
      <w:rPr>
        <w:rFonts w:cs="Times New Roman"/>
      </w:rPr>
    </w:lvl>
  </w:abstractNum>
  <w:num w:numId="1">
    <w:abstractNumId w:val="6"/>
  </w:num>
  <w:num w:numId="2">
    <w:abstractNumId w:val="30"/>
  </w:num>
  <w:num w:numId="3">
    <w:abstractNumId w:val="24"/>
  </w:num>
  <w:num w:numId="4">
    <w:abstractNumId w:val="40"/>
  </w:num>
  <w:num w:numId="5">
    <w:abstractNumId w:val="17"/>
  </w:num>
  <w:num w:numId="6">
    <w:abstractNumId w:val="31"/>
  </w:num>
  <w:num w:numId="7">
    <w:abstractNumId w:val="8"/>
  </w:num>
  <w:num w:numId="8">
    <w:abstractNumId w:val="9"/>
  </w:num>
  <w:num w:numId="9">
    <w:abstractNumId w:val="28"/>
  </w:num>
  <w:num w:numId="10">
    <w:abstractNumId w:val="37"/>
  </w:num>
  <w:num w:numId="11">
    <w:abstractNumId w:val="12"/>
  </w:num>
  <w:num w:numId="12">
    <w:abstractNumId w:val="25"/>
  </w:num>
  <w:num w:numId="13">
    <w:abstractNumId w:val="5"/>
  </w:num>
  <w:num w:numId="14">
    <w:abstractNumId w:val="14"/>
  </w:num>
  <w:num w:numId="15">
    <w:abstractNumId w:val="23"/>
  </w:num>
  <w:num w:numId="16">
    <w:abstractNumId w:val="4"/>
  </w:num>
  <w:num w:numId="17">
    <w:abstractNumId w:val="20"/>
  </w:num>
  <w:num w:numId="18">
    <w:abstractNumId w:val="36"/>
  </w:num>
  <w:num w:numId="19">
    <w:abstractNumId w:val="11"/>
  </w:num>
  <w:num w:numId="20">
    <w:abstractNumId w:val="7"/>
  </w:num>
  <w:num w:numId="21">
    <w:abstractNumId w:val="1"/>
  </w:num>
  <w:num w:numId="22">
    <w:abstractNumId w:val="35"/>
  </w:num>
  <w:num w:numId="23">
    <w:abstractNumId w:val="32"/>
  </w:num>
  <w:num w:numId="24">
    <w:abstractNumId w:val="13"/>
  </w:num>
  <w:num w:numId="25">
    <w:abstractNumId w:val="0"/>
  </w:num>
  <w:num w:numId="26">
    <w:abstractNumId w:val="33"/>
  </w:num>
  <w:num w:numId="27">
    <w:abstractNumId w:val="22"/>
  </w:num>
  <w:num w:numId="28">
    <w:abstractNumId w:val="27"/>
  </w:num>
  <w:num w:numId="29">
    <w:abstractNumId w:val="34"/>
  </w:num>
  <w:num w:numId="30">
    <w:abstractNumId w:val="29"/>
  </w:num>
  <w:num w:numId="31">
    <w:abstractNumId w:val="10"/>
  </w:num>
  <w:num w:numId="32">
    <w:abstractNumId w:val="3"/>
  </w:num>
  <w:num w:numId="33">
    <w:abstractNumId w:val="19"/>
  </w:num>
  <w:num w:numId="34">
    <w:abstractNumId w:val="15"/>
  </w:num>
  <w:num w:numId="35">
    <w:abstractNumId w:val="18"/>
  </w:num>
  <w:num w:numId="36">
    <w:abstractNumId w:val="26"/>
  </w:num>
  <w:num w:numId="37">
    <w:abstractNumId w:val="2"/>
  </w:num>
  <w:num w:numId="38">
    <w:abstractNumId w:val="16"/>
  </w:num>
  <w:num w:numId="39">
    <w:abstractNumId w:val="21"/>
  </w:num>
  <w:num w:numId="40">
    <w:abstractNumId w:val="38"/>
  </w:num>
  <w:num w:numId="41">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DE9"/>
    <w:rsid w:val="00046065"/>
    <w:rsid w:val="0005131E"/>
    <w:rsid w:val="00055F39"/>
    <w:rsid w:val="00063FDA"/>
    <w:rsid w:val="000826DE"/>
    <w:rsid w:val="00084E95"/>
    <w:rsid w:val="00092978"/>
    <w:rsid w:val="00093AE9"/>
    <w:rsid w:val="00095C67"/>
    <w:rsid w:val="00096A65"/>
    <w:rsid w:val="000C37FF"/>
    <w:rsid w:val="000C6B08"/>
    <w:rsid w:val="000D352E"/>
    <w:rsid w:val="000F25AC"/>
    <w:rsid w:val="000F5A8E"/>
    <w:rsid w:val="00100BEF"/>
    <w:rsid w:val="001071F3"/>
    <w:rsid w:val="00111BF3"/>
    <w:rsid w:val="00113C2E"/>
    <w:rsid w:val="00122888"/>
    <w:rsid w:val="00140216"/>
    <w:rsid w:val="00160C96"/>
    <w:rsid w:val="00170AF3"/>
    <w:rsid w:val="00173A07"/>
    <w:rsid w:val="00197978"/>
    <w:rsid w:val="001A366C"/>
    <w:rsid w:val="001B67E0"/>
    <w:rsid w:val="001C663D"/>
    <w:rsid w:val="001D532D"/>
    <w:rsid w:val="001F2868"/>
    <w:rsid w:val="00207C72"/>
    <w:rsid w:val="002246B1"/>
    <w:rsid w:val="00225FC6"/>
    <w:rsid w:val="00233B27"/>
    <w:rsid w:val="002370EE"/>
    <w:rsid w:val="00243F93"/>
    <w:rsid w:val="00244A53"/>
    <w:rsid w:val="00260E4B"/>
    <w:rsid w:val="002A05F2"/>
    <w:rsid w:val="002A439E"/>
    <w:rsid w:val="002A4B7B"/>
    <w:rsid w:val="002B28B3"/>
    <w:rsid w:val="002B7B8F"/>
    <w:rsid w:val="002D0E10"/>
    <w:rsid w:val="002E1684"/>
    <w:rsid w:val="002E6498"/>
    <w:rsid w:val="002E7CA8"/>
    <w:rsid w:val="003006F5"/>
    <w:rsid w:val="00316A65"/>
    <w:rsid w:val="00317086"/>
    <w:rsid w:val="00330538"/>
    <w:rsid w:val="003358B3"/>
    <w:rsid w:val="00343FB0"/>
    <w:rsid w:val="00346C6B"/>
    <w:rsid w:val="003902A5"/>
    <w:rsid w:val="003A169F"/>
    <w:rsid w:val="003A33B7"/>
    <w:rsid w:val="003D2153"/>
    <w:rsid w:val="003D3FC0"/>
    <w:rsid w:val="003D4541"/>
    <w:rsid w:val="003D49B8"/>
    <w:rsid w:val="003E132F"/>
    <w:rsid w:val="00404230"/>
    <w:rsid w:val="0043494F"/>
    <w:rsid w:val="0045729B"/>
    <w:rsid w:val="00465AC4"/>
    <w:rsid w:val="004A0925"/>
    <w:rsid w:val="004A17BA"/>
    <w:rsid w:val="004A5EC2"/>
    <w:rsid w:val="004B2773"/>
    <w:rsid w:val="004C61EB"/>
    <w:rsid w:val="004D40E9"/>
    <w:rsid w:val="004E5BA8"/>
    <w:rsid w:val="00511FDE"/>
    <w:rsid w:val="00532566"/>
    <w:rsid w:val="0054409B"/>
    <w:rsid w:val="00564ABC"/>
    <w:rsid w:val="00574A68"/>
    <w:rsid w:val="00590D2C"/>
    <w:rsid w:val="005923CC"/>
    <w:rsid w:val="00593410"/>
    <w:rsid w:val="005948CE"/>
    <w:rsid w:val="005A2D97"/>
    <w:rsid w:val="005A5026"/>
    <w:rsid w:val="005B3612"/>
    <w:rsid w:val="005D32D1"/>
    <w:rsid w:val="005E63BF"/>
    <w:rsid w:val="005F3A7B"/>
    <w:rsid w:val="00602287"/>
    <w:rsid w:val="00614941"/>
    <w:rsid w:val="00650008"/>
    <w:rsid w:val="00667EC7"/>
    <w:rsid w:val="006F6FF0"/>
    <w:rsid w:val="00703EC2"/>
    <w:rsid w:val="0072290C"/>
    <w:rsid w:val="007335B8"/>
    <w:rsid w:val="00736115"/>
    <w:rsid w:val="00757A9A"/>
    <w:rsid w:val="007649F5"/>
    <w:rsid w:val="00773B1F"/>
    <w:rsid w:val="0077787B"/>
    <w:rsid w:val="00791024"/>
    <w:rsid w:val="007A1367"/>
    <w:rsid w:val="007B7059"/>
    <w:rsid w:val="007E2AC2"/>
    <w:rsid w:val="007E2AFF"/>
    <w:rsid w:val="007E4765"/>
    <w:rsid w:val="007F173F"/>
    <w:rsid w:val="00815A27"/>
    <w:rsid w:val="00824B24"/>
    <w:rsid w:val="00826C9D"/>
    <w:rsid w:val="008274E7"/>
    <w:rsid w:val="0084557E"/>
    <w:rsid w:val="00846F6D"/>
    <w:rsid w:val="008645D4"/>
    <w:rsid w:val="00886990"/>
    <w:rsid w:val="008B53FF"/>
    <w:rsid w:val="008B6CFB"/>
    <w:rsid w:val="008C35AC"/>
    <w:rsid w:val="008D01B2"/>
    <w:rsid w:val="008F2184"/>
    <w:rsid w:val="008F4AC2"/>
    <w:rsid w:val="00900FCB"/>
    <w:rsid w:val="00914369"/>
    <w:rsid w:val="009155EE"/>
    <w:rsid w:val="0092047C"/>
    <w:rsid w:val="00921876"/>
    <w:rsid w:val="00926E01"/>
    <w:rsid w:val="009318D2"/>
    <w:rsid w:val="0093330B"/>
    <w:rsid w:val="00936DE9"/>
    <w:rsid w:val="00946255"/>
    <w:rsid w:val="00957CD2"/>
    <w:rsid w:val="009757B9"/>
    <w:rsid w:val="00990D34"/>
    <w:rsid w:val="009E61A3"/>
    <w:rsid w:val="009F0E9F"/>
    <w:rsid w:val="009F2866"/>
    <w:rsid w:val="00A06D98"/>
    <w:rsid w:val="00A148D1"/>
    <w:rsid w:val="00A53603"/>
    <w:rsid w:val="00A66394"/>
    <w:rsid w:val="00A7044C"/>
    <w:rsid w:val="00A90E54"/>
    <w:rsid w:val="00AA0C14"/>
    <w:rsid w:val="00AE6FA8"/>
    <w:rsid w:val="00AF3B79"/>
    <w:rsid w:val="00B1371A"/>
    <w:rsid w:val="00B23A93"/>
    <w:rsid w:val="00B242F0"/>
    <w:rsid w:val="00B53763"/>
    <w:rsid w:val="00B77CA5"/>
    <w:rsid w:val="00B77D76"/>
    <w:rsid w:val="00B9598D"/>
    <w:rsid w:val="00BA692E"/>
    <w:rsid w:val="00BB009B"/>
    <w:rsid w:val="00BC7974"/>
    <w:rsid w:val="00BF5D10"/>
    <w:rsid w:val="00BF6882"/>
    <w:rsid w:val="00C0119D"/>
    <w:rsid w:val="00C11DF7"/>
    <w:rsid w:val="00C33C91"/>
    <w:rsid w:val="00C5727A"/>
    <w:rsid w:val="00C95278"/>
    <w:rsid w:val="00CB3EA6"/>
    <w:rsid w:val="00CB51C0"/>
    <w:rsid w:val="00CB7A04"/>
    <w:rsid w:val="00CD5282"/>
    <w:rsid w:val="00CE482C"/>
    <w:rsid w:val="00CF57CF"/>
    <w:rsid w:val="00CF6BE5"/>
    <w:rsid w:val="00D33D94"/>
    <w:rsid w:val="00D36488"/>
    <w:rsid w:val="00D4132C"/>
    <w:rsid w:val="00D46A6E"/>
    <w:rsid w:val="00D47CBD"/>
    <w:rsid w:val="00D5177F"/>
    <w:rsid w:val="00D57005"/>
    <w:rsid w:val="00D61CCE"/>
    <w:rsid w:val="00D64E79"/>
    <w:rsid w:val="00D805D2"/>
    <w:rsid w:val="00D861AE"/>
    <w:rsid w:val="00DA7B5F"/>
    <w:rsid w:val="00DB1F45"/>
    <w:rsid w:val="00DB3A9C"/>
    <w:rsid w:val="00DE64E6"/>
    <w:rsid w:val="00E03BAF"/>
    <w:rsid w:val="00E13719"/>
    <w:rsid w:val="00E137DA"/>
    <w:rsid w:val="00E1536E"/>
    <w:rsid w:val="00E2061C"/>
    <w:rsid w:val="00E23E26"/>
    <w:rsid w:val="00E36C81"/>
    <w:rsid w:val="00E52A21"/>
    <w:rsid w:val="00E84C6C"/>
    <w:rsid w:val="00EA2CFE"/>
    <w:rsid w:val="00ED590B"/>
    <w:rsid w:val="00ED5D80"/>
    <w:rsid w:val="00EE66A4"/>
    <w:rsid w:val="00EF2FC9"/>
    <w:rsid w:val="00EF3254"/>
    <w:rsid w:val="00F120FE"/>
    <w:rsid w:val="00F20F02"/>
    <w:rsid w:val="00F275F3"/>
    <w:rsid w:val="00F30F85"/>
    <w:rsid w:val="00F36F7A"/>
    <w:rsid w:val="00F43149"/>
    <w:rsid w:val="00F53B90"/>
    <w:rsid w:val="00F64263"/>
    <w:rsid w:val="00F72601"/>
    <w:rsid w:val="00F77F15"/>
    <w:rsid w:val="00F94BE4"/>
    <w:rsid w:val="00FA5725"/>
    <w:rsid w:val="00FC6660"/>
    <w:rsid w:val="00FC76B9"/>
    <w:rsid w:val="00FE403A"/>
    <w:rsid w:val="00FF1269"/>
    <w:rsid w:val="00FF4D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BABB6B2"/>
  <w15:chartTrackingRefBased/>
  <w15:docId w15:val="{5814C1B4-134C-4319-A249-9AFE2CCB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Calibri" w:hAnsi="Verdana" w:cs="Arial"/>
        <w:lang w:val="pl-PL" w:eastAsia="pl-PL"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0E10"/>
    <w:pPr>
      <w:spacing w:after="200" w:line="276" w:lineRule="auto"/>
    </w:pPr>
    <w:rPr>
      <w:rFonts w:eastAsia="Times New Roman"/>
    </w:rPr>
  </w:style>
  <w:style w:type="paragraph" w:styleId="Nagwek1">
    <w:name w:val="heading 1"/>
    <w:basedOn w:val="Normalny"/>
    <w:next w:val="Normalny"/>
    <w:link w:val="Nagwek1Znak"/>
    <w:qFormat/>
    <w:rsid w:val="00826C9D"/>
    <w:pPr>
      <w:keepNext/>
      <w:spacing w:before="240" w:after="60"/>
      <w:outlineLvl w:val="0"/>
    </w:pPr>
    <w:rPr>
      <w:rFonts w:ascii="Arial" w:eastAsia="Calibri" w:hAnsi="Arial" w:cs="Times New Roman"/>
      <w:b/>
      <w:bCs/>
      <w:kern w:val="32"/>
      <w:szCs w:val="32"/>
      <w:lang w:eastAsia="en-US"/>
    </w:rPr>
  </w:style>
  <w:style w:type="paragraph" w:styleId="Nagwek2">
    <w:name w:val="heading 2"/>
    <w:basedOn w:val="Normalny"/>
    <w:next w:val="Normalny"/>
    <w:link w:val="Nagwek2Znak"/>
    <w:qFormat/>
    <w:rsid w:val="00826C9D"/>
    <w:pPr>
      <w:keepNext/>
      <w:spacing w:before="240" w:after="60"/>
      <w:outlineLvl w:val="1"/>
    </w:pPr>
    <w:rPr>
      <w:rFonts w:ascii="Arial" w:eastAsia="Calibri" w:hAnsi="Arial" w:cs="Times New Roman"/>
      <w:b/>
      <w:bCs/>
      <w:iCs/>
      <w:szCs w:val="28"/>
      <w:lang w:eastAsia="en-US"/>
    </w:rPr>
  </w:style>
  <w:style w:type="paragraph" w:styleId="Nagwek3">
    <w:name w:val="heading 3"/>
    <w:basedOn w:val="Normalny"/>
    <w:next w:val="Normalny"/>
    <w:link w:val="Nagwek3Znak"/>
    <w:qFormat/>
    <w:rsid w:val="00826C9D"/>
    <w:pPr>
      <w:keepNext/>
      <w:spacing w:before="240" w:after="60"/>
      <w:outlineLvl w:val="2"/>
    </w:pPr>
    <w:rPr>
      <w:rFonts w:ascii="Arial" w:eastAsia="Calibri" w:hAnsi="Arial" w:cs="Times New Roman"/>
      <w:b/>
      <w:bCs/>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826C9D"/>
    <w:rPr>
      <w:rFonts w:ascii="Arial" w:hAnsi="Arial" w:cs="Times New Roman"/>
      <w:b/>
      <w:bCs/>
      <w:kern w:val="32"/>
      <w:szCs w:val="32"/>
      <w:lang w:eastAsia="en-US"/>
    </w:rPr>
  </w:style>
  <w:style w:type="character" w:customStyle="1" w:styleId="Nagwek2Znak">
    <w:name w:val="Nagłówek 2 Znak"/>
    <w:link w:val="Nagwek2"/>
    <w:locked/>
    <w:rsid w:val="00826C9D"/>
    <w:rPr>
      <w:rFonts w:ascii="Arial" w:hAnsi="Arial" w:cs="Times New Roman"/>
      <w:b/>
      <w:bCs/>
      <w:iCs/>
      <w:szCs w:val="28"/>
      <w:lang w:eastAsia="en-US"/>
    </w:rPr>
  </w:style>
  <w:style w:type="character" w:customStyle="1" w:styleId="Nagwek3Znak">
    <w:name w:val="Nagłówek 3 Znak"/>
    <w:link w:val="Nagwek3"/>
    <w:locked/>
    <w:rsid w:val="00826C9D"/>
    <w:rPr>
      <w:rFonts w:ascii="Arial" w:hAnsi="Arial" w:cs="Times New Roman"/>
      <w:b/>
      <w:bCs/>
      <w:szCs w:val="26"/>
      <w:lang w:eastAsia="en-US"/>
    </w:rPr>
  </w:style>
  <w:style w:type="paragraph" w:customStyle="1" w:styleId="Akapitzlist1">
    <w:name w:val="Akapit z listą1"/>
    <w:basedOn w:val="Normalny"/>
    <w:rsid w:val="00936DE9"/>
    <w:pPr>
      <w:ind w:left="720"/>
      <w:contextualSpacing/>
    </w:pPr>
  </w:style>
  <w:style w:type="table" w:styleId="Tabela-Siatka">
    <w:name w:val="Table Grid"/>
    <w:basedOn w:val="Standardowy"/>
    <w:rsid w:val="00846F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rsid w:val="00D57005"/>
    <w:rPr>
      <w:rFonts w:cs="Times New Roman"/>
      <w:sz w:val="16"/>
    </w:rPr>
  </w:style>
  <w:style w:type="paragraph" w:styleId="Tekstkomentarza">
    <w:name w:val="annotation text"/>
    <w:basedOn w:val="Normalny"/>
    <w:link w:val="TekstkomentarzaZnak"/>
    <w:semiHidden/>
    <w:rsid w:val="00D57005"/>
    <w:rPr>
      <w:rFonts w:cs="Times New Roman"/>
      <w:lang w:eastAsia="en-US"/>
    </w:rPr>
  </w:style>
  <w:style w:type="character" w:customStyle="1" w:styleId="TekstkomentarzaZnak">
    <w:name w:val="Tekst komentarza Znak"/>
    <w:link w:val="Tekstkomentarza"/>
    <w:semiHidden/>
    <w:locked/>
    <w:rsid w:val="00D57005"/>
    <w:rPr>
      <w:rFonts w:cs="Times New Roman"/>
      <w:lang w:val="x-none" w:eastAsia="en-US"/>
    </w:rPr>
  </w:style>
  <w:style w:type="paragraph" w:styleId="Tematkomentarza">
    <w:name w:val="annotation subject"/>
    <w:basedOn w:val="Tekstkomentarza"/>
    <w:next w:val="Tekstkomentarza"/>
    <w:link w:val="TematkomentarzaZnak"/>
    <w:semiHidden/>
    <w:rsid w:val="00D57005"/>
    <w:rPr>
      <w:b/>
      <w:bCs/>
    </w:rPr>
  </w:style>
  <w:style w:type="character" w:customStyle="1" w:styleId="TematkomentarzaZnak">
    <w:name w:val="Temat komentarza Znak"/>
    <w:link w:val="Tematkomentarza"/>
    <w:semiHidden/>
    <w:locked/>
    <w:rsid w:val="00D57005"/>
    <w:rPr>
      <w:rFonts w:cs="Times New Roman"/>
      <w:b/>
      <w:lang w:val="x-none" w:eastAsia="en-US"/>
    </w:rPr>
  </w:style>
  <w:style w:type="paragraph" w:styleId="Tekstdymka">
    <w:name w:val="Balloon Text"/>
    <w:basedOn w:val="Normalny"/>
    <w:link w:val="TekstdymkaZnak"/>
    <w:semiHidden/>
    <w:rsid w:val="00D57005"/>
    <w:pPr>
      <w:spacing w:after="0" w:line="240" w:lineRule="auto"/>
    </w:pPr>
    <w:rPr>
      <w:rFonts w:ascii="Tahoma" w:hAnsi="Tahoma" w:cs="Times New Roman"/>
      <w:sz w:val="16"/>
      <w:szCs w:val="16"/>
      <w:lang w:eastAsia="en-US"/>
    </w:rPr>
  </w:style>
  <w:style w:type="character" w:customStyle="1" w:styleId="TekstdymkaZnak">
    <w:name w:val="Tekst dymka Znak"/>
    <w:link w:val="Tekstdymka"/>
    <w:semiHidden/>
    <w:locked/>
    <w:rsid w:val="00D57005"/>
    <w:rPr>
      <w:rFonts w:ascii="Tahoma" w:hAnsi="Tahoma" w:cs="Times New Roman"/>
      <w:sz w:val="16"/>
      <w:lang w:val="x-none" w:eastAsia="en-US"/>
    </w:rPr>
  </w:style>
  <w:style w:type="paragraph" w:styleId="Nagwek">
    <w:name w:val="header"/>
    <w:aliases w:val="Nagłówek strony nieparzystej"/>
    <w:basedOn w:val="Normalny"/>
    <w:link w:val="NagwekZnak"/>
    <w:rsid w:val="009F2866"/>
    <w:pPr>
      <w:tabs>
        <w:tab w:val="center" w:pos="4536"/>
        <w:tab w:val="right" w:pos="9072"/>
      </w:tabs>
    </w:pPr>
    <w:rPr>
      <w:rFonts w:cs="Times New Roman"/>
      <w:sz w:val="22"/>
      <w:szCs w:val="22"/>
      <w:lang w:eastAsia="en-US"/>
    </w:rPr>
  </w:style>
  <w:style w:type="character" w:customStyle="1" w:styleId="NagwekZnak">
    <w:name w:val="Nagłówek Znak"/>
    <w:aliases w:val="Nagłówek strony nieparzystej Znak"/>
    <w:link w:val="Nagwek"/>
    <w:locked/>
    <w:rsid w:val="009F2866"/>
    <w:rPr>
      <w:rFonts w:cs="Times New Roman"/>
      <w:sz w:val="22"/>
      <w:lang w:val="x-none" w:eastAsia="en-US"/>
    </w:rPr>
  </w:style>
  <w:style w:type="paragraph" w:styleId="Stopka">
    <w:name w:val="footer"/>
    <w:aliases w:val="Znak"/>
    <w:basedOn w:val="Normalny"/>
    <w:link w:val="StopkaZnak"/>
    <w:rsid w:val="009F2866"/>
    <w:pPr>
      <w:tabs>
        <w:tab w:val="center" w:pos="4536"/>
        <w:tab w:val="right" w:pos="9072"/>
      </w:tabs>
    </w:pPr>
    <w:rPr>
      <w:rFonts w:cs="Times New Roman"/>
      <w:sz w:val="22"/>
      <w:szCs w:val="22"/>
      <w:lang w:eastAsia="en-US"/>
    </w:rPr>
  </w:style>
  <w:style w:type="character" w:customStyle="1" w:styleId="StopkaZnak">
    <w:name w:val="Stopka Znak"/>
    <w:aliases w:val="Znak Znak"/>
    <w:link w:val="Stopka"/>
    <w:locked/>
    <w:rsid w:val="009F2866"/>
    <w:rPr>
      <w:rFonts w:cs="Times New Roman"/>
      <w:sz w:val="22"/>
      <w:lang w:val="x-none" w:eastAsia="en-US"/>
    </w:rPr>
  </w:style>
  <w:style w:type="paragraph" w:customStyle="1" w:styleId="Nagwekspisutreci1">
    <w:name w:val="Nagłówek spisu treści1"/>
    <w:basedOn w:val="Nagwek1"/>
    <w:next w:val="Normalny"/>
    <w:rsid w:val="009F2866"/>
    <w:pPr>
      <w:keepLines/>
      <w:spacing w:before="480" w:after="0"/>
      <w:outlineLvl w:val="9"/>
    </w:pPr>
    <w:rPr>
      <w:color w:val="365F91"/>
      <w:kern w:val="0"/>
      <w:sz w:val="28"/>
      <w:szCs w:val="28"/>
    </w:rPr>
  </w:style>
  <w:style w:type="paragraph" w:styleId="Spistreci1">
    <w:name w:val="toc 1"/>
    <w:basedOn w:val="Normalny"/>
    <w:next w:val="Normalny"/>
    <w:autoRedefine/>
    <w:uiPriority w:val="39"/>
    <w:rsid w:val="003D4541"/>
    <w:pPr>
      <w:tabs>
        <w:tab w:val="left" w:pos="426"/>
        <w:tab w:val="right" w:leader="dot" w:pos="8493"/>
      </w:tabs>
    </w:pPr>
  </w:style>
  <w:style w:type="character" w:styleId="Hipercze">
    <w:name w:val="Hyperlink"/>
    <w:uiPriority w:val="99"/>
    <w:rsid w:val="009F2866"/>
    <w:rPr>
      <w:rFonts w:cs="Times New Roman"/>
      <w:color w:val="0000FF"/>
      <w:u w:val="single"/>
    </w:rPr>
  </w:style>
  <w:style w:type="paragraph" w:styleId="Spistreci2">
    <w:name w:val="toc 2"/>
    <w:basedOn w:val="Normalny"/>
    <w:next w:val="Normalny"/>
    <w:autoRedefine/>
    <w:uiPriority w:val="39"/>
    <w:rsid w:val="009F2866"/>
    <w:pPr>
      <w:spacing w:after="100"/>
      <w:ind w:left="220"/>
    </w:pPr>
    <w:rPr>
      <w:rFonts w:eastAsia="Calibri"/>
    </w:rPr>
  </w:style>
  <w:style w:type="paragraph" w:styleId="Spistreci3">
    <w:name w:val="toc 3"/>
    <w:basedOn w:val="Normalny"/>
    <w:next w:val="Normalny"/>
    <w:autoRedefine/>
    <w:uiPriority w:val="39"/>
    <w:rsid w:val="009F2866"/>
    <w:pPr>
      <w:spacing w:after="100"/>
      <w:ind w:left="440"/>
    </w:pPr>
    <w:rPr>
      <w:rFonts w:eastAsia="Calibri"/>
    </w:rPr>
  </w:style>
  <w:style w:type="character" w:customStyle="1" w:styleId="Tekstzastpczy1">
    <w:name w:val="Tekst zastępczy1"/>
    <w:semiHidden/>
    <w:rsid w:val="00B23A93"/>
    <w:rPr>
      <w:rFonts w:cs="Times New Roman"/>
      <w:color w:val="808080"/>
    </w:rPr>
  </w:style>
  <w:style w:type="paragraph" w:styleId="Nagwekspisutreci">
    <w:name w:val="TOC Heading"/>
    <w:basedOn w:val="Nagwek1"/>
    <w:next w:val="Normalny"/>
    <w:uiPriority w:val="39"/>
    <w:unhideWhenUsed/>
    <w:qFormat/>
    <w:rsid w:val="00826C9D"/>
    <w:pPr>
      <w:keepLines/>
      <w:spacing w:after="0" w:line="259" w:lineRule="auto"/>
      <w:outlineLvl w:val="9"/>
    </w:pPr>
    <w:rPr>
      <w:rFonts w:asciiTheme="majorHAnsi" w:eastAsiaTheme="majorEastAsia" w:hAnsiTheme="majorHAnsi" w:cstheme="majorBidi"/>
      <w:b w:val="0"/>
      <w:bCs w:val="0"/>
      <w:color w:val="2F5496" w:themeColor="accent1" w:themeShade="BF"/>
      <w:kern w:val="0"/>
      <w:sz w:val="32"/>
      <w:lang w:eastAsia="pl-PL"/>
    </w:rPr>
  </w:style>
  <w:style w:type="paragraph" w:styleId="Akapitzlist">
    <w:name w:val="List Paragraph"/>
    <w:basedOn w:val="Normalny"/>
    <w:uiPriority w:val="34"/>
    <w:qFormat/>
    <w:rsid w:val="004E5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C6CD4-5358-4571-B444-94BDDB40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25</Pages>
  <Words>6678</Words>
  <Characters>46872</Characters>
  <Application>Microsoft Office Word</Application>
  <DocSecurity>0</DocSecurity>
  <Lines>390</Lines>
  <Paragraphs>106</Paragraphs>
  <ScaleCrop>false</ScaleCrop>
  <HeadingPairs>
    <vt:vector size="2" baseType="variant">
      <vt:variant>
        <vt:lpstr>Tytuł</vt:lpstr>
      </vt:variant>
      <vt:variant>
        <vt:i4>1</vt:i4>
      </vt:variant>
    </vt:vector>
  </HeadingPairs>
  <TitlesOfParts>
    <vt:vector size="1" baseType="lpstr">
      <vt:lpstr>GWARANCJA  JAKOŚCI</vt:lpstr>
    </vt:vector>
  </TitlesOfParts>
  <Company>GDDKiA</Company>
  <LinksUpToDate>false</LinksUpToDate>
  <CharactersWithSpaces>53444</CharactersWithSpaces>
  <SharedDoc>false</SharedDoc>
  <HLinks>
    <vt:vector size="108" baseType="variant">
      <vt:variant>
        <vt:i4>1441855</vt:i4>
      </vt:variant>
      <vt:variant>
        <vt:i4>104</vt:i4>
      </vt:variant>
      <vt:variant>
        <vt:i4>0</vt:i4>
      </vt:variant>
      <vt:variant>
        <vt:i4>5</vt:i4>
      </vt:variant>
      <vt:variant>
        <vt:lpwstr/>
      </vt:variant>
      <vt:variant>
        <vt:lpwstr>_Toc150696740</vt:lpwstr>
      </vt:variant>
      <vt:variant>
        <vt:i4>1114175</vt:i4>
      </vt:variant>
      <vt:variant>
        <vt:i4>98</vt:i4>
      </vt:variant>
      <vt:variant>
        <vt:i4>0</vt:i4>
      </vt:variant>
      <vt:variant>
        <vt:i4>5</vt:i4>
      </vt:variant>
      <vt:variant>
        <vt:lpwstr/>
      </vt:variant>
      <vt:variant>
        <vt:lpwstr>_Toc150696739</vt:lpwstr>
      </vt:variant>
      <vt:variant>
        <vt:i4>1114175</vt:i4>
      </vt:variant>
      <vt:variant>
        <vt:i4>92</vt:i4>
      </vt:variant>
      <vt:variant>
        <vt:i4>0</vt:i4>
      </vt:variant>
      <vt:variant>
        <vt:i4>5</vt:i4>
      </vt:variant>
      <vt:variant>
        <vt:lpwstr/>
      </vt:variant>
      <vt:variant>
        <vt:lpwstr>_Toc150696738</vt:lpwstr>
      </vt:variant>
      <vt:variant>
        <vt:i4>1114175</vt:i4>
      </vt:variant>
      <vt:variant>
        <vt:i4>86</vt:i4>
      </vt:variant>
      <vt:variant>
        <vt:i4>0</vt:i4>
      </vt:variant>
      <vt:variant>
        <vt:i4>5</vt:i4>
      </vt:variant>
      <vt:variant>
        <vt:lpwstr/>
      </vt:variant>
      <vt:variant>
        <vt:lpwstr>_Toc150696737</vt:lpwstr>
      </vt:variant>
      <vt:variant>
        <vt:i4>1114175</vt:i4>
      </vt:variant>
      <vt:variant>
        <vt:i4>80</vt:i4>
      </vt:variant>
      <vt:variant>
        <vt:i4>0</vt:i4>
      </vt:variant>
      <vt:variant>
        <vt:i4>5</vt:i4>
      </vt:variant>
      <vt:variant>
        <vt:lpwstr/>
      </vt:variant>
      <vt:variant>
        <vt:lpwstr>_Toc150696736</vt:lpwstr>
      </vt:variant>
      <vt:variant>
        <vt:i4>1114175</vt:i4>
      </vt:variant>
      <vt:variant>
        <vt:i4>74</vt:i4>
      </vt:variant>
      <vt:variant>
        <vt:i4>0</vt:i4>
      </vt:variant>
      <vt:variant>
        <vt:i4>5</vt:i4>
      </vt:variant>
      <vt:variant>
        <vt:lpwstr/>
      </vt:variant>
      <vt:variant>
        <vt:lpwstr>_Toc150696735</vt:lpwstr>
      </vt:variant>
      <vt:variant>
        <vt:i4>1114175</vt:i4>
      </vt:variant>
      <vt:variant>
        <vt:i4>68</vt:i4>
      </vt:variant>
      <vt:variant>
        <vt:i4>0</vt:i4>
      </vt:variant>
      <vt:variant>
        <vt:i4>5</vt:i4>
      </vt:variant>
      <vt:variant>
        <vt:lpwstr/>
      </vt:variant>
      <vt:variant>
        <vt:lpwstr>_Toc150696734</vt:lpwstr>
      </vt:variant>
      <vt:variant>
        <vt:i4>1114175</vt:i4>
      </vt:variant>
      <vt:variant>
        <vt:i4>62</vt:i4>
      </vt:variant>
      <vt:variant>
        <vt:i4>0</vt:i4>
      </vt:variant>
      <vt:variant>
        <vt:i4>5</vt:i4>
      </vt:variant>
      <vt:variant>
        <vt:lpwstr/>
      </vt:variant>
      <vt:variant>
        <vt:lpwstr>_Toc150696733</vt:lpwstr>
      </vt:variant>
      <vt:variant>
        <vt:i4>1114175</vt:i4>
      </vt:variant>
      <vt:variant>
        <vt:i4>56</vt:i4>
      </vt:variant>
      <vt:variant>
        <vt:i4>0</vt:i4>
      </vt:variant>
      <vt:variant>
        <vt:i4>5</vt:i4>
      </vt:variant>
      <vt:variant>
        <vt:lpwstr/>
      </vt:variant>
      <vt:variant>
        <vt:lpwstr>_Toc150696732</vt:lpwstr>
      </vt:variant>
      <vt:variant>
        <vt:i4>1114175</vt:i4>
      </vt:variant>
      <vt:variant>
        <vt:i4>50</vt:i4>
      </vt:variant>
      <vt:variant>
        <vt:i4>0</vt:i4>
      </vt:variant>
      <vt:variant>
        <vt:i4>5</vt:i4>
      </vt:variant>
      <vt:variant>
        <vt:lpwstr/>
      </vt:variant>
      <vt:variant>
        <vt:lpwstr>_Toc150696731</vt:lpwstr>
      </vt:variant>
      <vt:variant>
        <vt:i4>1114175</vt:i4>
      </vt:variant>
      <vt:variant>
        <vt:i4>44</vt:i4>
      </vt:variant>
      <vt:variant>
        <vt:i4>0</vt:i4>
      </vt:variant>
      <vt:variant>
        <vt:i4>5</vt:i4>
      </vt:variant>
      <vt:variant>
        <vt:lpwstr/>
      </vt:variant>
      <vt:variant>
        <vt:lpwstr>_Toc150696730</vt:lpwstr>
      </vt:variant>
      <vt:variant>
        <vt:i4>1048639</vt:i4>
      </vt:variant>
      <vt:variant>
        <vt:i4>38</vt:i4>
      </vt:variant>
      <vt:variant>
        <vt:i4>0</vt:i4>
      </vt:variant>
      <vt:variant>
        <vt:i4>5</vt:i4>
      </vt:variant>
      <vt:variant>
        <vt:lpwstr/>
      </vt:variant>
      <vt:variant>
        <vt:lpwstr>_Toc150696729</vt:lpwstr>
      </vt:variant>
      <vt:variant>
        <vt:i4>1048639</vt:i4>
      </vt:variant>
      <vt:variant>
        <vt:i4>32</vt:i4>
      </vt:variant>
      <vt:variant>
        <vt:i4>0</vt:i4>
      </vt:variant>
      <vt:variant>
        <vt:i4>5</vt:i4>
      </vt:variant>
      <vt:variant>
        <vt:lpwstr/>
      </vt:variant>
      <vt:variant>
        <vt:lpwstr>_Toc150696728</vt:lpwstr>
      </vt:variant>
      <vt:variant>
        <vt:i4>1048639</vt:i4>
      </vt:variant>
      <vt:variant>
        <vt:i4>26</vt:i4>
      </vt:variant>
      <vt:variant>
        <vt:i4>0</vt:i4>
      </vt:variant>
      <vt:variant>
        <vt:i4>5</vt:i4>
      </vt:variant>
      <vt:variant>
        <vt:lpwstr/>
      </vt:variant>
      <vt:variant>
        <vt:lpwstr>_Toc150696727</vt:lpwstr>
      </vt:variant>
      <vt:variant>
        <vt:i4>1048639</vt:i4>
      </vt:variant>
      <vt:variant>
        <vt:i4>20</vt:i4>
      </vt:variant>
      <vt:variant>
        <vt:i4>0</vt:i4>
      </vt:variant>
      <vt:variant>
        <vt:i4>5</vt:i4>
      </vt:variant>
      <vt:variant>
        <vt:lpwstr/>
      </vt:variant>
      <vt:variant>
        <vt:lpwstr>_Toc150696726</vt:lpwstr>
      </vt:variant>
      <vt:variant>
        <vt:i4>1048639</vt:i4>
      </vt:variant>
      <vt:variant>
        <vt:i4>14</vt:i4>
      </vt:variant>
      <vt:variant>
        <vt:i4>0</vt:i4>
      </vt:variant>
      <vt:variant>
        <vt:i4>5</vt:i4>
      </vt:variant>
      <vt:variant>
        <vt:lpwstr/>
      </vt:variant>
      <vt:variant>
        <vt:lpwstr>_Toc150696725</vt:lpwstr>
      </vt:variant>
      <vt:variant>
        <vt:i4>1048639</vt:i4>
      </vt:variant>
      <vt:variant>
        <vt:i4>8</vt:i4>
      </vt:variant>
      <vt:variant>
        <vt:i4>0</vt:i4>
      </vt:variant>
      <vt:variant>
        <vt:i4>5</vt:i4>
      </vt:variant>
      <vt:variant>
        <vt:lpwstr/>
      </vt:variant>
      <vt:variant>
        <vt:lpwstr>_Toc150696724</vt:lpwstr>
      </vt:variant>
      <vt:variant>
        <vt:i4>1048639</vt:i4>
      </vt:variant>
      <vt:variant>
        <vt:i4>2</vt:i4>
      </vt:variant>
      <vt:variant>
        <vt:i4>0</vt:i4>
      </vt:variant>
      <vt:variant>
        <vt:i4>5</vt:i4>
      </vt:variant>
      <vt:variant>
        <vt:lpwstr/>
      </vt:variant>
      <vt:variant>
        <vt:lpwstr>_Toc150696723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GWARANCJA  JAKOŚCI</dc:title>
  <dc:subject/>
  <dc:creator>Bukowski Leszek</dc:creator>
  <cp:keywords/>
  <dc:description/>
  <cp:lastModifiedBy>Krzysztof Staniszewski</cp:lastModifiedBy>
  <cp:revision>13</cp:revision>
  <cp:lastPrinted>2025-05-15T12:30:00Z</cp:lastPrinted>
  <dcterms:created xsi:type="dcterms:W3CDTF">2025-05-09T09:56:00Z</dcterms:created>
  <dcterms:modified xsi:type="dcterms:W3CDTF">2026-01-07T09:19:00Z</dcterms:modified>
</cp:coreProperties>
</file>